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13"/>
      <w:bookmarkStart w:id="3" w:name="OLE_LINK12"/>
      <w:bookmarkStart w:id="4" w:name="OLE_LINK34"/>
      <w:bookmarkStart w:id="5" w:name="OLE_LINK33"/>
      <w:r>
        <w:rPr>
          <w:rFonts w:hint="eastAsia" w:ascii="Arial" w:hAnsi="Arial" w:eastAsia="宋体"/>
          <w:b/>
          <w:lang w:eastAsia="ja-JP"/>
        </w:rPr>
        <w:t>3GPP TSG RAN WG1 #</w:t>
      </w:r>
      <w:r>
        <w:rPr>
          <w:rFonts w:hint="eastAsia" w:ascii="Arial" w:hAnsi="Arial" w:eastAsia="宋体"/>
          <w:b/>
        </w:rPr>
        <w:t xml:space="preserve">107-e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21</w:t>
      </w:r>
      <w:r>
        <w:rPr>
          <w:rFonts w:ascii="Arial" w:hAnsi="Arial" w:eastAsia="宋体"/>
          <w:b/>
          <w:lang w:eastAsia="ja-JP"/>
        </w:rPr>
        <w:t>1</w:t>
      </w:r>
      <w:r>
        <w:rPr>
          <w:rFonts w:ascii="Arial" w:hAnsi="Arial" w:eastAsia="宋体"/>
          <w:b/>
        </w:rPr>
        <w:t>0952</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lang w:eastAsia="ja-JP"/>
        </w:rPr>
        <w:t xml:space="preserve"> </w:t>
      </w:r>
      <w:r>
        <w:rPr>
          <w:rFonts w:hint="eastAsia" w:ascii="Arial" w:hAnsi="Arial"/>
          <w:b/>
        </w:rPr>
        <w:t>November 11</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19</w:t>
      </w:r>
      <w:r>
        <w:rPr>
          <w:rFonts w:hint="eastAsia" w:ascii="Arial" w:hAnsi="Arial"/>
          <w:b/>
          <w:vertAlign w:val="superscript"/>
        </w:rPr>
        <w:t>th</w:t>
      </w:r>
      <w:r>
        <w:rPr>
          <w:rFonts w:hint="eastAsia" w:ascii="Arial" w:hAnsi="Arial" w:eastAsia="宋体"/>
          <w:b/>
          <w:lang w:eastAsia="ja-JP"/>
        </w:rPr>
        <w:t>, 20</w:t>
      </w:r>
      <w:r>
        <w:rPr>
          <w:rFonts w:hint="eastAsia" w:ascii="Arial" w:hAnsi="Arial" w:eastAsia="宋体"/>
          <w:b/>
        </w:rPr>
        <w:t>21</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Discussion on Multi-TRP HST enhancements</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8.1.2.4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rPr>
          <w:lang w:val="en-US"/>
        </w:rPr>
      </w:pPr>
      <w:r>
        <w:rPr>
          <w:lang w:val="en-US"/>
        </w:rPr>
        <w:t>Introduction</w:t>
      </w:r>
    </w:p>
    <w:p>
      <w:pPr>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lang w:val="en-GB"/>
        </w:rPr>
        <w:t xml:space="preserve">In RAN#86, Rel-17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MIMO is approved [1]</w:t>
      </w:r>
      <w:r>
        <w:rPr>
          <w:rFonts w:hint="eastAsia" w:ascii="Times New Roman" w:hAnsi="Times New Roman"/>
          <w:sz w:val="20"/>
          <w:szCs w:val="20"/>
        </w:rPr>
        <w:t xml:space="preserve"> 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HST-SFN deployment</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both FR1 and FR2. The detail is given as follows.</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96"/>
              <w:snapToGrid w:val="0"/>
              <w:spacing w:after="0"/>
              <w:ind w:left="0" w:leftChars="0"/>
              <w:jc w:val="both"/>
              <w:rPr>
                <w:rFonts w:ascii="Times New Roman" w:hAnsi="Times New Roman"/>
                <w:sz w:val="20"/>
                <w:szCs w:val="20"/>
              </w:rPr>
            </w:pPr>
            <w:r>
              <w:rPr>
                <w:rFonts w:ascii="Times New Roman" w:hAnsi="Times New Roman"/>
                <w:sz w:val="20"/>
                <w:szCs w:val="20"/>
              </w:rPr>
              <w:t>Enhancement on the support for multi-TRP deployment, targeting both FR1 and FR2:</w:t>
            </w:r>
          </w:p>
          <w:p>
            <w:pPr>
              <w:pStyle w:val="96"/>
              <w:numPr>
                <w:ilvl w:val="0"/>
                <w:numId w:val="2"/>
              </w:numPr>
              <w:snapToGrid w:val="0"/>
              <w:spacing w:after="0"/>
              <w:ind w:leftChars="0"/>
              <w:jc w:val="both"/>
              <w:rPr>
                <w:rFonts w:ascii="Times New Roman" w:hAnsi="Times New Roman"/>
                <w:vanish/>
                <w:sz w:val="20"/>
                <w:szCs w:val="20"/>
              </w:rPr>
            </w:pPr>
          </w:p>
          <w:p>
            <w:pPr>
              <w:pStyle w:val="96"/>
              <w:numPr>
                <w:ilvl w:val="1"/>
                <w:numId w:val="2"/>
              </w:numPr>
              <w:snapToGrid w:val="0"/>
              <w:spacing w:after="0"/>
              <w:ind w:leftChars="0"/>
              <w:jc w:val="both"/>
              <w:rPr>
                <w:rFonts w:ascii="Times New Roman" w:hAnsi="Times New Roman"/>
                <w:vanish/>
                <w:sz w:val="20"/>
                <w:szCs w:val="20"/>
              </w:rPr>
            </w:pPr>
          </w:p>
          <w:p>
            <w:pPr>
              <w:pStyle w:val="96"/>
              <w:numPr>
                <w:ilvl w:val="1"/>
                <w:numId w:val="2"/>
              </w:numPr>
              <w:snapToGrid w:val="0"/>
              <w:spacing w:after="0"/>
              <w:ind w:leftChars="0"/>
              <w:jc w:val="both"/>
              <w:rPr>
                <w:rFonts w:ascii="Times New Roman" w:hAnsi="Times New Roman"/>
                <w:vanish/>
                <w:sz w:val="20"/>
                <w:szCs w:val="20"/>
              </w:rPr>
            </w:pPr>
          </w:p>
          <w:p>
            <w:pPr>
              <w:pStyle w:val="96"/>
              <w:numPr>
                <w:ilvl w:val="1"/>
                <w:numId w:val="2"/>
              </w:numPr>
              <w:snapToGrid w:val="0"/>
              <w:spacing w:after="0"/>
              <w:ind w:leftChars="0"/>
              <w:jc w:val="both"/>
              <w:rPr>
                <w:rFonts w:ascii="Times New Roman" w:hAnsi="Times New Roman"/>
                <w:vanish/>
                <w:sz w:val="20"/>
                <w:szCs w:val="20"/>
              </w:rPr>
            </w:pPr>
          </w:p>
          <w:p>
            <w:pPr>
              <w:pStyle w:val="96"/>
              <w:numPr>
                <w:ilvl w:val="1"/>
                <w:numId w:val="2"/>
              </w:numPr>
              <w:snapToGrid w:val="0"/>
              <w:spacing w:after="0"/>
              <w:ind w:left="800" w:leftChars="0"/>
              <w:jc w:val="both"/>
              <w:rPr>
                <w:rFonts w:ascii="Times New Roman" w:hAnsi="Times New Roman"/>
                <w:sz w:val="20"/>
                <w:szCs w:val="20"/>
              </w:rPr>
            </w:pPr>
            <w:r>
              <w:rPr>
                <w:rFonts w:ascii="Times New Roman" w:hAnsi="Times New Roman"/>
                <w:sz w:val="20"/>
                <w:szCs w:val="20"/>
              </w:rPr>
              <w:t>Enhancement to support HST-SFN deployment scenario:</w:t>
            </w:r>
          </w:p>
          <w:p>
            <w:pPr>
              <w:pStyle w:val="96"/>
              <w:numPr>
                <w:ilvl w:val="2"/>
                <w:numId w:val="3"/>
              </w:numPr>
              <w:snapToGrid w:val="0"/>
              <w:spacing w:after="0"/>
              <w:ind w:left="1060"/>
              <w:jc w:val="both"/>
              <w:rPr>
                <w:rFonts w:ascii="Times New Roman" w:hAnsi="Times New Roman"/>
                <w:sz w:val="20"/>
                <w:szCs w:val="20"/>
              </w:rPr>
            </w:pPr>
            <w:r>
              <w:rPr>
                <w:rFonts w:ascii="Times New Roman" w:hAnsi="Times New Roman"/>
                <w:sz w:val="20"/>
                <w:szCs w:val="20"/>
              </w:rPr>
              <w:t>Identify and specify solution(s) on QCL assumption for DMRS, e.g. multiple QCL assumptions for the same DMRS port(s), targeting DL-only transmission</w:t>
            </w:r>
          </w:p>
          <w:p>
            <w:pPr>
              <w:pStyle w:val="96"/>
              <w:numPr>
                <w:ilvl w:val="2"/>
                <w:numId w:val="3"/>
              </w:numPr>
              <w:snapToGrid w:val="0"/>
              <w:spacing w:after="0"/>
              <w:ind w:left="1060"/>
              <w:jc w:val="both"/>
              <w:rPr>
                <w:rFonts w:ascii="Times New Roman" w:hAnsi="Times New Roman"/>
                <w:sz w:val="20"/>
                <w:szCs w:val="20"/>
              </w:rPr>
            </w:pPr>
            <w:r>
              <w:rPr>
                <w:rFonts w:ascii="Times New Roman" w:hAnsi="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After the intensive discussion, both UE based and network based frequency pre-compensation solutions have been agreed. However, there are still many details to be addressed.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views on the open issues</w:t>
      </w:r>
      <w:r>
        <w:rPr>
          <w:rFonts w:hint="eastAsia" w:ascii="Times New Roman" w:hAnsi="Times New Roman"/>
          <w:sz w:val="20"/>
          <w:szCs w:val="20"/>
        </w:rPr>
        <w:t xml:space="preserve"> for HST-SFN </w:t>
      </w:r>
      <w:r>
        <w:rPr>
          <w:rFonts w:ascii="Times New Roman" w:hAnsi="Times New Roman"/>
          <w:sz w:val="20"/>
          <w:szCs w:val="20"/>
        </w:rPr>
        <w:t>enhancements</w:t>
      </w:r>
      <w:r>
        <w:rPr>
          <w:rFonts w:hint="eastAsia" w:ascii="Times New Roman" w:hAnsi="Times New Roman"/>
          <w:sz w:val="20"/>
          <w:szCs w:val="20"/>
        </w:rPr>
        <w:t xml:space="preserve">. </w:t>
      </w:r>
    </w:p>
    <w:p>
      <w:pPr>
        <w:pStyle w:val="2"/>
        <w:snapToGrid w:val="0"/>
        <w:rPr>
          <w:lang w:val="en-US"/>
        </w:rPr>
      </w:pPr>
      <w:r>
        <w:rPr>
          <w:lang w:val="en-US"/>
        </w:rPr>
        <w:t>Discussion</w:t>
      </w:r>
    </w:p>
    <w:p>
      <w:pPr>
        <w:pStyle w:val="3"/>
        <w:numPr>
          <w:ilvl w:val="1"/>
          <w:numId w:val="4"/>
        </w:numPr>
        <w:snapToGrid w:val="0"/>
        <w:spacing w:before="180" w:beforeLines="50" w:after="180" w:afterLines="50" w:line="240" w:lineRule="auto"/>
        <w:rPr>
          <w:rFonts w:ascii="Arial" w:hAnsi="Arial" w:cs="Arial"/>
          <w:sz w:val="24"/>
          <w:szCs w:val="24"/>
        </w:rPr>
      </w:pPr>
      <w:r>
        <w:rPr>
          <w:rFonts w:hint="eastAsia" w:ascii="Arial" w:hAnsi="Arial" w:cs="Arial"/>
          <w:sz w:val="24"/>
          <w:szCs w:val="24"/>
        </w:rPr>
        <w:t>Activation of two TCI states across multiple CCs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w:t>
      </w:r>
      <w:r>
        <w:rPr>
          <w:rFonts w:hint="eastAsia" w:ascii="Times New Roman" w:hAnsi="Times New Roman"/>
          <w:sz w:val="20"/>
          <w:szCs w:val="20"/>
        </w:rPr>
        <w:t>RAN1#106bis-e meeting, whether to use the legacy Rel-16 RRC parameters or new RRC parameters to define set of the serving cells which can be addressed by single MAC CE for activation of two TCI states of CORESET with the same CORESET ID for all the BWPs has been discussed</w:t>
      </w:r>
      <w:r>
        <w:rPr>
          <w:rFonts w:ascii="Times New Roman" w:hAnsi="Times New Roman"/>
          <w:sz w:val="20"/>
          <w:szCs w:val="20"/>
        </w:rPr>
        <w:t>,</w:t>
      </w:r>
      <w:r>
        <w:rPr>
          <w:rFonts w:hint="eastAsia" w:ascii="Times New Roman" w:hAnsi="Times New Roman"/>
          <w:sz w:val="20"/>
          <w:szCs w:val="20"/>
        </w:rPr>
        <w:t xml:space="preserve"> and the working assumption [2]</w:t>
      </w:r>
      <w:r>
        <w:rPr>
          <w:rFonts w:ascii="Times New Roman" w:hAnsi="Times New Roman"/>
          <w:sz w:val="20"/>
          <w:szCs w:val="20"/>
        </w:rPr>
        <w:t xml:space="preserve"> is</w:t>
      </w:r>
      <w:r>
        <w:rPr>
          <w:rFonts w:hint="eastAsia" w:ascii="Times New Roman" w:hAnsi="Times New Roman"/>
          <w:sz w:val="20"/>
          <w:szCs w:val="20"/>
        </w:rPr>
        <w:t xml:space="preserve"> shown as follows</w:t>
      </w:r>
      <w:r>
        <w:rPr>
          <w:rFonts w:hint="eastAsia" w:ascii="Times New Roman" w:hAnsi="Times New Roman" w:eastAsia="宋体"/>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sz w:val="20"/>
                <w:szCs w:val="20"/>
                <w:u w:val="single"/>
              </w:rPr>
            </w:pPr>
            <w:r>
              <w:rPr>
                <w:rFonts w:ascii="Times New Roman" w:hAnsi="Times New Roman"/>
                <w:sz w:val="20"/>
                <w:szCs w:val="20"/>
                <w:u w:val="single"/>
              </w:rPr>
              <w:t>Working Assumption</w:t>
            </w:r>
            <w:r>
              <w:rPr>
                <w:rFonts w:hint="eastAsia" w:ascii="Times New Roman" w:hAnsi="Times New Roman"/>
                <w:sz w:val="20"/>
                <w:szCs w:val="20"/>
                <w:u w:val="single"/>
              </w:rPr>
              <w:t>:</w:t>
            </w:r>
          </w:p>
          <w:p>
            <w:pPr>
              <w:pStyle w:val="99"/>
              <w:snapToGrid w:val="0"/>
              <w:spacing w:after="0" w:line="240" w:lineRule="auto"/>
              <w:ind w:firstLine="0" w:firstLineChars="0"/>
              <w:jc w:val="both"/>
            </w:pPr>
            <w:r>
              <w:rPr>
                <w:rFonts w:ascii="Times New Roman" w:hAnsi="Times New Roman" w:eastAsia="Malgun Gothic"/>
                <w:sz w:val="20"/>
                <w:szCs w:val="20"/>
              </w:rPr>
              <w:t xml:space="preserve">Reuse legacy Rel-16 RRC parameters </w:t>
            </w:r>
            <w:r>
              <w:rPr>
                <w:rFonts w:ascii="Times New Roman" w:hAnsi="Times New Roman" w:eastAsia="Malgun Gothic"/>
                <w:i/>
                <w:iCs/>
                <w:sz w:val="20"/>
                <w:szCs w:val="20"/>
              </w:rPr>
              <w:t>simultaneousTCI-UpdateList1, simultaneousTCI-UpdateList2</w:t>
            </w:r>
            <w:r>
              <w:rPr>
                <w:rFonts w:ascii="Times New Roman" w:hAnsi="Times New Roman" w:eastAsia="Malgun Gothic"/>
                <w:sz w:val="20"/>
                <w:szCs w:val="20"/>
              </w:rPr>
              <w:t xml:space="preserve"> to define set of the serving cells which can be addressed by a single MAC CE for activation of two TCI states of CORESET with the same CORESET ID for all the BWPs.</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Rel-16, for simultaneous TCI state activation, UE is provided by the RRC parameter </w:t>
      </w:r>
      <w:r>
        <w:rPr>
          <w:rFonts w:hint="eastAsia" w:ascii="Times New Roman" w:hAnsi="Times New Roman"/>
          <w:i/>
          <w:iCs/>
          <w:sz w:val="20"/>
          <w:szCs w:val="20"/>
        </w:rPr>
        <w:t>simultaneousTCI-UpdateList1</w:t>
      </w:r>
      <w:r>
        <w:rPr>
          <w:rFonts w:hint="eastAsia" w:ascii="Times New Roman" w:hAnsi="Times New Roman"/>
          <w:sz w:val="20"/>
          <w:szCs w:val="20"/>
        </w:rPr>
        <w:t xml:space="preserve"> or </w:t>
      </w:r>
      <w:r>
        <w:rPr>
          <w:rFonts w:hint="eastAsia" w:ascii="Times New Roman" w:hAnsi="Times New Roman"/>
          <w:i/>
          <w:iCs/>
          <w:sz w:val="20"/>
          <w:szCs w:val="20"/>
        </w:rPr>
        <w:t>simultaneousTCI-UpdateList2,</w:t>
      </w:r>
      <w:r>
        <w:rPr>
          <w:rFonts w:hint="eastAsia" w:ascii="Times New Roman" w:hAnsi="Times New Roman"/>
          <w:sz w:val="20"/>
          <w:szCs w:val="20"/>
        </w:rPr>
        <w:t xml:space="preserve"> and up to two lists of </w:t>
      </w:r>
      <w:r>
        <w:rPr>
          <w:rFonts w:ascii="Times New Roman" w:hAnsi="Times New Roman"/>
          <w:sz w:val="20"/>
          <w:szCs w:val="20"/>
        </w:rPr>
        <w:t>carriers</w:t>
      </w:r>
      <w:r>
        <w:rPr>
          <w:rFonts w:hint="eastAsia" w:ascii="Times New Roman" w:hAnsi="Times New Roman"/>
          <w:sz w:val="20"/>
          <w:szCs w:val="20"/>
        </w:rPr>
        <w:t xml:space="preserve"> are configured for simultaneous TCI state activation. </w:t>
      </w:r>
      <w:r>
        <w:rPr>
          <w:rFonts w:ascii="Times New Roman" w:hAnsi="Times New Roman"/>
          <w:sz w:val="20"/>
          <w:szCs w:val="20"/>
        </w:rPr>
        <w:t xml:space="preserve">Basically, the </w:t>
      </w:r>
      <w:r>
        <w:rPr>
          <w:rFonts w:ascii="Times New Roman" w:hAnsi="Times New Roman"/>
          <w:iCs/>
          <w:sz w:val="20"/>
          <w:szCs w:val="20"/>
        </w:rPr>
        <w:t xml:space="preserve">configured CCs in which TCI states can be simultaneously updated for CORESETs with the same ID should share the same RF chain or similar channel conditions for analog beamforming. This is regardless of the number of activated TCI states for each CORESET. Hence, </w:t>
      </w:r>
      <w:r>
        <w:rPr>
          <w:rFonts w:ascii="Times New Roman" w:hAnsi="Times New Roman"/>
          <w:sz w:val="20"/>
          <w:szCs w:val="20"/>
        </w:rPr>
        <w:t>f</w:t>
      </w:r>
      <w:r>
        <w:rPr>
          <w:rFonts w:hint="eastAsia" w:ascii="Times New Roman" w:hAnsi="Times New Roman"/>
          <w:sz w:val="20"/>
          <w:szCs w:val="20"/>
        </w:rPr>
        <w:t xml:space="preserve">or SFN based PDCCH transmission in CA scenario, </w:t>
      </w:r>
      <w:r>
        <w:rPr>
          <w:rFonts w:ascii="Times New Roman" w:hAnsi="Times New Roman"/>
          <w:sz w:val="20"/>
          <w:szCs w:val="20"/>
        </w:rPr>
        <w:t>we think</w:t>
      </w:r>
      <w:r>
        <w:rPr>
          <w:rFonts w:hint="eastAsia" w:ascii="Times New Roman" w:hAnsi="Times New Roman"/>
          <w:sz w:val="20"/>
          <w:szCs w:val="20"/>
        </w:rPr>
        <w:t xml:space="preserve"> the two </w:t>
      </w:r>
      <w:r>
        <w:rPr>
          <w:rFonts w:ascii="Times New Roman" w:hAnsi="Times New Roman"/>
          <w:sz w:val="20"/>
          <w:szCs w:val="20"/>
        </w:rPr>
        <w:t xml:space="preserve">existing </w:t>
      </w:r>
      <w:r>
        <w:rPr>
          <w:rFonts w:hint="eastAsia" w:ascii="Times New Roman" w:hAnsi="Times New Roman"/>
          <w:sz w:val="20"/>
          <w:szCs w:val="20"/>
        </w:rPr>
        <w:t>parameters s</w:t>
      </w:r>
      <w:r>
        <w:rPr>
          <w:rFonts w:hint="eastAsia" w:ascii="Times New Roman" w:hAnsi="Times New Roman"/>
          <w:i/>
          <w:iCs/>
          <w:sz w:val="20"/>
          <w:szCs w:val="20"/>
        </w:rPr>
        <w:t>imultaneousTCI-UpdateList1</w:t>
      </w:r>
      <w:r>
        <w:rPr>
          <w:rFonts w:hint="eastAsia" w:ascii="Times New Roman" w:hAnsi="Times New Roman"/>
          <w:sz w:val="20"/>
          <w:szCs w:val="20"/>
        </w:rPr>
        <w:t xml:space="preserve"> or </w:t>
      </w:r>
      <w:r>
        <w:rPr>
          <w:rFonts w:hint="eastAsia" w:ascii="Times New Roman" w:hAnsi="Times New Roman"/>
          <w:i/>
          <w:iCs/>
          <w:sz w:val="20"/>
          <w:szCs w:val="20"/>
        </w:rPr>
        <w:t>simultaneousTCI-UpdateList2</w:t>
      </w:r>
      <w:r>
        <w:rPr>
          <w:rFonts w:hint="eastAsia" w:ascii="Times New Roman" w:hAnsi="Times New Roman"/>
          <w:sz w:val="20"/>
          <w:szCs w:val="20"/>
        </w:rPr>
        <w:t xml:space="preserve"> can be </w:t>
      </w:r>
      <w:r>
        <w:rPr>
          <w:rFonts w:ascii="Times New Roman" w:hAnsi="Times New Roman"/>
          <w:sz w:val="20"/>
          <w:szCs w:val="20"/>
        </w:rPr>
        <w:t>reused</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Specifically,</w:t>
      </w:r>
      <w:r>
        <w:rPr>
          <w:rFonts w:hint="eastAsia" w:ascii="Times New Roman" w:hAnsi="Times New Roman"/>
          <w:sz w:val="20"/>
          <w:szCs w:val="20"/>
        </w:rPr>
        <w:t xml:space="preserve"> the two p</w:t>
      </w:r>
      <w:r>
        <w:rPr>
          <w:rFonts w:ascii="Times New Roman" w:hAnsi="Times New Roman"/>
          <w:sz w:val="20"/>
          <w:szCs w:val="20"/>
        </w:rPr>
        <w:t>arameters can be used for both Rel-16 and Rel-17 SFN schemes. For a CORESET activated with two TCI states by a MAC CE, all CORESETs with the same ID in the indicated CC set configured by</w:t>
      </w:r>
      <w:r>
        <w:rPr>
          <w:rFonts w:hint="eastAsia" w:ascii="Times New Roman" w:hAnsi="Times New Roman"/>
          <w:sz w:val="20"/>
          <w:szCs w:val="20"/>
        </w:rPr>
        <w:t xml:space="preserve"> </w:t>
      </w:r>
      <w:r>
        <w:rPr>
          <w:rFonts w:ascii="Times New Roman" w:hAnsi="Times New Roman"/>
          <w:sz w:val="20"/>
          <w:szCs w:val="20"/>
        </w:rPr>
        <w:t>s</w:t>
      </w:r>
      <w:r>
        <w:rPr>
          <w:rFonts w:ascii="Times New Roman" w:hAnsi="Times New Roman"/>
          <w:i/>
          <w:iCs/>
          <w:sz w:val="20"/>
          <w:szCs w:val="20"/>
        </w:rPr>
        <w:t>imultaneousTCI-UpdateList1</w:t>
      </w:r>
      <w:r>
        <w:rPr>
          <w:rFonts w:ascii="Times New Roman" w:hAnsi="Times New Roman"/>
          <w:sz w:val="20"/>
          <w:szCs w:val="20"/>
        </w:rPr>
        <w:t xml:space="preserve"> or </w:t>
      </w:r>
      <w:r>
        <w:rPr>
          <w:rFonts w:ascii="Times New Roman" w:hAnsi="Times New Roman"/>
          <w:i/>
          <w:iCs/>
          <w:sz w:val="20"/>
          <w:szCs w:val="20"/>
        </w:rPr>
        <w:t>simultaneousTCI-UpdateList2</w:t>
      </w:r>
      <w:r>
        <w:rPr>
          <w:rFonts w:ascii="Times New Roman" w:hAnsi="Times New Roman"/>
          <w:sz w:val="20"/>
          <w:szCs w:val="20"/>
        </w:rPr>
        <w:t xml:space="preserve"> should be updated simultaneously, and all of these CORESETs are transmitted with SFN manner. Likewise, for a CORESET activated with single TCI state by a MAC CE, all CORESETs with the same ID in the indicated CC set configured by s</w:t>
      </w:r>
      <w:r>
        <w:rPr>
          <w:rFonts w:ascii="Times New Roman" w:hAnsi="Times New Roman"/>
          <w:i/>
          <w:iCs/>
          <w:sz w:val="20"/>
          <w:szCs w:val="20"/>
        </w:rPr>
        <w:t>imultaneousTCI-UpdateList1</w:t>
      </w:r>
      <w:r>
        <w:rPr>
          <w:rFonts w:ascii="Times New Roman" w:hAnsi="Times New Roman"/>
          <w:sz w:val="20"/>
          <w:szCs w:val="20"/>
        </w:rPr>
        <w:t xml:space="preserve"> or </w:t>
      </w:r>
      <w:r>
        <w:rPr>
          <w:rFonts w:ascii="Times New Roman" w:hAnsi="Times New Roman"/>
          <w:i/>
          <w:iCs/>
          <w:sz w:val="20"/>
          <w:szCs w:val="20"/>
        </w:rPr>
        <w:t>simultaneousTCI-UpdateList2</w:t>
      </w:r>
      <w:r>
        <w:rPr>
          <w:rFonts w:ascii="Times New Roman" w:hAnsi="Times New Roman"/>
          <w:sz w:val="20"/>
          <w:szCs w:val="20"/>
        </w:rPr>
        <w:t xml:space="preserve"> should be updated simultaneously, and all of these CORESETs are transmitted with sTRP manner. Basically, the procedure is the same as Rel-16. Hence, we propose to confirm the above working assumption. </w:t>
      </w:r>
    </w:p>
    <w:p>
      <w:pPr>
        <w:snapToGrid w:val="0"/>
        <w:spacing w:after="0" w:line="240" w:lineRule="auto"/>
        <w:jc w:val="both"/>
        <w:rPr>
          <w:rFonts w:ascii="Times New Roman" w:hAnsi="Times New Roman"/>
          <w:sz w:val="20"/>
          <w:szCs w:val="20"/>
        </w:rPr>
      </w:pPr>
      <w:r>
        <w:rPr>
          <w:rFonts w:hint="eastAsia" w:ascii="Times New Roman" w:hAnsi="Times New Roman"/>
          <w:b/>
          <w:bCs/>
          <w:i/>
          <w:iCs/>
          <w:sz w:val="20"/>
          <w:szCs w:val="20"/>
        </w:rPr>
        <w:t>Proposal 1:</w:t>
      </w:r>
      <w:r>
        <w:rPr>
          <w:rFonts w:ascii="Times New Roman" w:hAnsi="Times New Roman"/>
          <w:b/>
          <w:bCs/>
          <w:i/>
          <w:iCs/>
          <w:sz w:val="20"/>
          <w:szCs w:val="20"/>
        </w:rPr>
        <w:t xml:space="preserve"> </w:t>
      </w:r>
      <w:r>
        <w:rPr>
          <w:rFonts w:hint="eastAsia" w:ascii="Times New Roman" w:hAnsi="Times New Roman"/>
          <w:bCs/>
          <w:i/>
          <w:iCs/>
          <w:sz w:val="20"/>
          <w:szCs w:val="20"/>
        </w:rPr>
        <w:t>Confirm the working assumption</w:t>
      </w:r>
      <w:r>
        <w:rPr>
          <w:rFonts w:ascii="Times New Roman" w:hAnsi="Times New Roman"/>
          <w:bCs/>
          <w:i/>
          <w:iCs/>
          <w:sz w:val="20"/>
          <w:szCs w:val="20"/>
        </w:rPr>
        <w:t xml:space="preserve">, i.e. </w:t>
      </w:r>
      <w:r>
        <w:rPr>
          <w:rFonts w:hint="eastAsia" w:ascii="Times New Roman" w:hAnsi="Times New Roman"/>
          <w:bCs/>
          <w:i/>
          <w:iCs/>
          <w:sz w:val="20"/>
          <w:szCs w:val="20"/>
        </w:rPr>
        <w:t xml:space="preserve">reuse </w:t>
      </w:r>
      <w:r>
        <w:rPr>
          <w:rFonts w:ascii="Times New Roman" w:hAnsi="Times New Roman" w:eastAsia="Malgun Gothic"/>
          <w:i/>
          <w:iCs/>
          <w:sz w:val="20"/>
          <w:szCs w:val="20"/>
        </w:rPr>
        <w:t>legacy Rel-16 RRC parameters simultaneousTCI-UpdateList1, simultaneousTCI-UpdateList2 to define set of the serving cells which can be addressed by a single MAC CE for activation of two TCI states of CORESET with the same CORESET ID for all the BWPs</w:t>
      </w:r>
      <w:r>
        <w:rPr>
          <w:rFonts w:hint="eastAsia" w:ascii="Times New Roman" w:hAnsi="Times New Roman" w:eastAsia="Malgun Gothic"/>
          <w:i/>
          <w:iCs/>
          <w:sz w:val="20"/>
          <w:szCs w:val="20"/>
        </w:rPr>
        <w:t>.</w:t>
      </w:r>
    </w:p>
    <w:p>
      <w:pPr>
        <w:pStyle w:val="3"/>
        <w:numPr>
          <w:ilvl w:val="1"/>
          <w:numId w:val="4"/>
        </w:numPr>
        <w:snapToGrid w:val="0"/>
        <w:spacing w:before="180" w:beforeLines="50" w:after="180" w:afterLines="50" w:line="240" w:lineRule="auto"/>
        <w:rPr>
          <w:rFonts w:ascii="Arial" w:hAnsi="Arial" w:cs="Arial"/>
          <w:sz w:val="24"/>
          <w:szCs w:val="24"/>
        </w:rPr>
      </w:pPr>
      <w:bookmarkStart w:id="6" w:name="OLE_LINK15"/>
      <w:r>
        <w:rPr>
          <w:rFonts w:ascii="Arial" w:hAnsi="Arial" w:cs="Arial"/>
          <w:sz w:val="24"/>
          <w:szCs w:val="24"/>
        </w:rPr>
        <w:t>Default TCI state</w:t>
      </w:r>
      <w:r>
        <w:rPr>
          <w:rFonts w:hint="eastAsia" w:ascii="Arial" w:hAnsi="Arial" w:cs="Arial"/>
          <w:sz w:val="24"/>
          <w:szCs w:val="24"/>
        </w:rPr>
        <w:t xml:space="preserve"> for DL transmission</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sz w:val="20"/>
                <w:szCs w:val="20"/>
                <w:u w:val="single"/>
              </w:rPr>
            </w:pPr>
            <w:bookmarkStart w:id="7" w:name="OLE_LINK7"/>
            <w:bookmarkStart w:id="8" w:name="OLE_LINK3"/>
            <w:r>
              <w:rPr>
                <w:rFonts w:ascii="Times New Roman" w:hAnsi="Times New Roman"/>
                <w:sz w:val="20"/>
                <w:szCs w:val="20"/>
                <w:u w:val="single"/>
              </w:rPr>
              <w:t>Agreement:</w:t>
            </w:r>
          </w:p>
          <w:bookmarkEnd w:id="7"/>
          <w:bookmarkEnd w:id="8"/>
          <w:p>
            <w:pPr>
              <w:snapToGrid w:val="0"/>
              <w:spacing w:after="0" w:line="240" w:lineRule="auto"/>
              <w:rPr>
                <w:rFonts w:ascii="Times New Roman" w:hAnsi="Times New Roman"/>
                <w:color w:val="000000"/>
                <w:sz w:val="20"/>
                <w:szCs w:val="20"/>
              </w:rPr>
            </w:pPr>
            <w:r>
              <w:rPr>
                <w:rFonts w:ascii="Times New Roman" w:hAnsi="Times New Roman"/>
                <w:color w:val="000000"/>
                <w:sz w:val="20"/>
                <w:szCs w:val="20"/>
              </w:rPr>
              <w:t xml:space="preserve">When SFN PDSCH is not configured by RRC, for PDSCH reception scheduled by DCI format 1_0, 1_1, 1_2, if the time offset between the reception of the DL DCI and the corresponding PDSCH is smaller than the threshold </w:t>
            </w:r>
            <w:r>
              <w:rPr>
                <w:rFonts w:ascii="Times New Roman" w:hAnsi="Times New Roman"/>
                <w:i/>
                <w:iCs/>
                <w:color w:val="000000"/>
                <w:sz w:val="20"/>
                <w:szCs w:val="20"/>
              </w:rPr>
              <w:t>timeDurationForQCL,</w:t>
            </w:r>
          </w:p>
          <w:p>
            <w:pPr>
              <w:pStyle w:val="98"/>
              <w:numPr>
                <w:ilvl w:val="0"/>
                <w:numId w:val="5"/>
              </w:numPr>
              <w:snapToGrid w:val="0"/>
              <w:spacing w:after="0" w:line="240" w:lineRule="auto"/>
              <w:ind w:left="726" w:hanging="363"/>
              <w:jc w:val="both"/>
              <w:rPr>
                <w:rFonts w:ascii="Times" w:hAnsi="Times" w:cs="Times"/>
                <w:sz w:val="20"/>
                <w:szCs w:val="20"/>
              </w:rPr>
            </w:pPr>
            <w:r>
              <w:rPr>
                <w:rFonts w:ascii="Times" w:hAnsi="Times" w:cs="Times"/>
                <w:sz w:val="20"/>
                <w:szCs w:val="20"/>
                <w:lang w:eastAsia="ja-JP"/>
              </w:rPr>
              <w:t>For DCI format 1_1/1_2, support both configurations with and without TCI state field</w:t>
            </w:r>
            <w:r>
              <w:rPr>
                <w:rFonts w:ascii="Times" w:hAnsi="Times" w:cs="Times"/>
                <w:sz w:val="20"/>
                <w:szCs w:val="20"/>
              </w:rPr>
              <w:t>.</w:t>
            </w:r>
          </w:p>
          <w:p>
            <w:pPr>
              <w:pStyle w:val="98"/>
              <w:numPr>
                <w:ilvl w:val="0"/>
                <w:numId w:val="5"/>
              </w:numPr>
              <w:snapToGrid w:val="0"/>
              <w:spacing w:after="0" w:line="240" w:lineRule="auto"/>
              <w:ind w:left="726" w:hanging="363"/>
              <w:jc w:val="both"/>
              <w:rPr>
                <w:rFonts w:ascii="Times" w:hAnsi="Times" w:cs="Times"/>
                <w:sz w:val="20"/>
                <w:szCs w:val="20"/>
              </w:rPr>
            </w:pPr>
            <w:r>
              <w:rPr>
                <w:rFonts w:ascii="Times" w:hAnsi="Times" w:cs="Times"/>
                <w:sz w:val="20"/>
                <w:szCs w:val="20"/>
              </w:rPr>
              <w:t xml:space="preserve">[If </w:t>
            </w:r>
            <w:r>
              <w:rPr>
                <w:rFonts w:ascii="Times" w:hAnsi="Times" w:cs="Times"/>
                <w:i/>
                <w:iCs/>
                <w:sz w:val="20"/>
                <w:szCs w:val="20"/>
              </w:rPr>
              <w:t xml:space="preserve">enableTwoDefaultTCIStates </w:t>
            </w:r>
            <w:r>
              <w:rPr>
                <w:rFonts w:ascii="Times" w:hAnsi="Times" w:cs="Times"/>
                <w:sz w:val="20"/>
                <w:szCs w:val="20"/>
              </w:rPr>
              <w:t xml:space="preserve">is not configured,] </w:t>
            </w:r>
            <w:r>
              <w:rPr>
                <w:rFonts w:ascii="Times" w:hAnsi="Times" w:cs="Times"/>
                <w:sz w:val="20"/>
                <w:szCs w:val="20"/>
                <w:lang w:eastAsia="ja-JP"/>
              </w:rPr>
              <w:t>for both cases with and without TCI state field,</w:t>
            </w:r>
          </w:p>
          <w:p>
            <w:pPr>
              <w:pStyle w:val="103"/>
              <w:numPr>
                <w:ilvl w:val="1"/>
                <w:numId w:val="6"/>
              </w:numPr>
              <w:snapToGrid w:val="0"/>
              <w:spacing w:before="0" w:beforeAutospacing="0" w:after="0" w:afterAutospacing="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lang w:eastAsia="ja-JP"/>
              </w:rPr>
              <w:t>If enhanced SFN PDCCH transmission scheme 1 is configured</w:t>
            </w:r>
            <w:r>
              <w:rPr>
                <w:rFonts w:ascii="Times New Roman" w:hAnsi="Times New Roman" w:eastAsia="Times New Roman" w:cs="Times New Roman"/>
                <w:sz w:val="20"/>
                <w:szCs w:val="20"/>
              </w:rPr>
              <w:t xml:space="preserve"> and the lowest CORESET ID in the latest slot is indicated with two TCI states, select the 1st TCI state of the two TCI states of the CORESET as default beam for the PDSCH reception</w:t>
            </w:r>
          </w:p>
          <w:p>
            <w:pPr>
              <w:pStyle w:val="104"/>
              <w:numPr>
                <w:ilvl w:val="2"/>
                <w:numId w:val="7"/>
              </w:numPr>
              <w:snapToGrid w:val="0"/>
              <w:spacing w:before="0" w:beforeAutospacing="0" w:after="0" w:afterAutospacing="0" w:line="240" w:lineRule="auto"/>
              <w:ind w:hanging="363"/>
              <w:jc w:val="both"/>
              <w:rPr>
                <w:rFonts w:ascii="Times" w:hAnsi="Times" w:eastAsia="Times New Roman" w:cs="Times"/>
                <w:sz w:val="20"/>
                <w:szCs w:val="20"/>
                <w:lang w:val="en-GB"/>
              </w:rPr>
            </w:pPr>
            <w:r>
              <w:rPr>
                <w:rFonts w:ascii="Times" w:hAnsi="Times" w:eastAsia="Times New Roman" w:cs="Times"/>
                <w:sz w:val="20"/>
                <w:szCs w:val="20"/>
                <w:lang w:val="en-GB"/>
              </w:rPr>
              <w:t xml:space="preserve">FFS: Whether above applies for </w:t>
            </w:r>
            <w:r>
              <w:rPr>
                <w:rFonts w:ascii="Times" w:hAnsi="Times" w:eastAsia="Times New Roman" w:cs="Times"/>
                <w:sz w:val="20"/>
                <w:szCs w:val="20"/>
                <w:lang w:val="en-GB" w:eastAsia="ja-JP"/>
              </w:rPr>
              <w:t>TRP-based pre-compensation if TRP-based pre-compensation is agreed to be support in FR2</w:t>
            </w:r>
          </w:p>
          <w:p>
            <w:pPr>
              <w:pStyle w:val="103"/>
              <w:numPr>
                <w:ilvl w:val="1"/>
                <w:numId w:val="6"/>
              </w:numPr>
              <w:snapToGrid w:val="0"/>
              <w:spacing w:before="0" w:beforeAutospacing="0" w:after="0" w:afterAutospacing="0" w:line="240" w:lineRule="auto"/>
              <w:rPr>
                <w:rFonts w:ascii="Times New Roman" w:hAnsi="Times New Roman" w:eastAsia="Times New Roman" w:cs="Times New Roman"/>
                <w:sz w:val="20"/>
                <w:szCs w:val="20"/>
                <w:lang w:eastAsia="ja-JP"/>
              </w:rPr>
            </w:pPr>
            <w:r>
              <w:rPr>
                <w:rFonts w:ascii="Times New Roman" w:hAnsi="Times New Roman" w:eastAsia="Times New Roman" w:cs="Times New Roman"/>
                <w:sz w:val="20"/>
                <w:szCs w:val="20"/>
                <w:lang w:eastAsia="ja-JP"/>
              </w:rPr>
              <w:t xml:space="preserve">Otherwise, UE applies the one active TCI state of the CORESET with the lowest </w:t>
            </w:r>
            <w:r>
              <w:rPr>
                <w:rFonts w:ascii="Times New Roman" w:hAnsi="Times New Roman" w:eastAsia="Times New Roman" w:cs="Times New Roman"/>
                <w:i/>
                <w:iCs/>
                <w:sz w:val="20"/>
                <w:szCs w:val="20"/>
                <w:lang w:eastAsia="ja-JP"/>
              </w:rPr>
              <w:t xml:space="preserve">controlResourceSetId </w:t>
            </w:r>
            <w:r>
              <w:rPr>
                <w:rFonts w:ascii="Times New Roman" w:hAnsi="Times New Roman" w:eastAsia="Times New Roman" w:cs="Times New Roman"/>
                <w:sz w:val="20"/>
                <w:szCs w:val="20"/>
                <w:lang w:eastAsia="ja-JP"/>
              </w:rPr>
              <w:t xml:space="preserve">in the latest slot when receiving the PDSCH </w:t>
            </w:r>
          </w:p>
          <w:p>
            <w:pPr>
              <w:adjustRightInd w:val="0"/>
              <w:snapToGrid w:val="0"/>
              <w:spacing w:after="0" w:line="240" w:lineRule="auto"/>
              <w:rPr>
                <w:b/>
                <w:bCs/>
              </w:rPr>
            </w:pP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shown in the above agreement, </w:t>
      </w:r>
      <w:r>
        <w:rPr>
          <w:rFonts w:hint="eastAsia" w:ascii="Times New Roman" w:hAnsi="Times New Roman"/>
          <w:sz w:val="20"/>
          <w:szCs w:val="20"/>
        </w:rPr>
        <w:t>when SFN PDSCH is not configured, the default TCI state has been discussed, but there are still several remaining issues should be decided.</w:t>
      </w:r>
    </w:p>
    <w:p>
      <w:pPr>
        <w:snapToGrid w:val="0"/>
        <w:spacing w:before="180" w:beforeLines="50" w:after="180" w:afterLines="50" w:line="240" w:lineRule="auto"/>
        <w:jc w:val="both"/>
        <w:rPr>
          <w:rFonts w:ascii="Times" w:hAnsi="Times" w:cs="Times"/>
          <w:sz w:val="20"/>
          <w:szCs w:val="20"/>
        </w:rPr>
      </w:pPr>
      <w:r>
        <w:rPr>
          <w:rFonts w:hint="eastAsia" w:ascii="Times New Roman" w:hAnsi="Times New Roman"/>
          <w:sz w:val="20"/>
          <w:szCs w:val="20"/>
        </w:rPr>
        <w:t xml:space="preserve">Considering </w:t>
      </w:r>
      <w:bookmarkStart w:id="9" w:name="OLE_LINK8"/>
      <w:r>
        <w:rPr>
          <w:rFonts w:ascii="Times" w:hAnsi="Times" w:cs="Times"/>
          <w:i/>
          <w:iCs/>
          <w:sz w:val="20"/>
          <w:szCs w:val="20"/>
        </w:rPr>
        <w:t>enableTwoDefaultTCIStates</w:t>
      </w:r>
      <w:r>
        <w:rPr>
          <w:rFonts w:ascii="Times" w:hAnsi="Times" w:cs="Times"/>
          <w:sz w:val="20"/>
          <w:szCs w:val="20"/>
        </w:rPr>
        <w:t xml:space="preserve"> </w:t>
      </w:r>
      <w:bookmarkEnd w:id="9"/>
      <w:r>
        <w:rPr>
          <w:rFonts w:hint="eastAsia" w:ascii="Times" w:hAnsi="Times" w:cs="Times"/>
          <w:sz w:val="20"/>
          <w:szCs w:val="20"/>
        </w:rPr>
        <w:t xml:space="preserve">can be configured for </w:t>
      </w:r>
      <w:r>
        <w:rPr>
          <w:rFonts w:ascii="Times" w:hAnsi="Times" w:cs="Times"/>
          <w:sz w:val="20"/>
          <w:szCs w:val="20"/>
        </w:rPr>
        <w:t xml:space="preserve">either Rel-17 </w:t>
      </w:r>
      <w:r>
        <w:rPr>
          <w:rFonts w:hint="eastAsia" w:ascii="Times" w:hAnsi="Times" w:cs="Times"/>
          <w:sz w:val="20"/>
          <w:szCs w:val="20"/>
        </w:rPr>
        <w:t xml:space="preserve">SFN PDSCH </w:t>
      </w:r>
      <w:r>
        <w:rPr>
          <w:rFonts w:ascii="Times" w:hAnsi="Times" w:cs="Times"/>
          <w:sz w:val="20"/>
          <w:szCs w:val="20"/>
        </w:rPr>
        <w:t>or</w:t>
      </w:r>
      <w:r>
        <w:rPr>
          <w:rFonts w:hint="eastAsia" w:ascii="Times" w:hAnsi="Times" w:cs="Times"/>
          <w:sz w:val="20"/>
          <w:szCs w:val="20"/>
        </w:rPr>
        <w:t xml:space="preserve"> Rel-16 MTRP schemes based PDSCH, and the SFN based PDSCH(scheme-1 or pre-compensation) and the </w:t>
      </w:r>
      <w:r>
        <w:rPr>
          <w:rFonts w:ascii="Times" w:hAnsi="Times" w:cs="Times"/>
          <w:i/>
          <w:iCs/>
          <w:sz w:val="20"/>
          <w:szCs w:val="20"/>
        </w:rPr>
        <w:t xml:space="preserve">enableTwoDefaultTCIStates </w:t>
      </w:r>
      <w:r>
        <w:rPr>
          <w:rFonts w:hint="eastAsia" w:ascii="Times" w:hAnsi="Times" w:cs="Times"/>
          <w:sz w:val="20"/>
          <w:szCs w:val="20"/>
        </w:rPr>
        <w:t>are configured by RRC separately, hence</w:t>
      </w:r>
      <w:r>
        <w:rPr>
          <w:rFonts w:ascii="Times" w:hAnsi="Times" w:cs="Times"/>
          <w:sz w:val="20"/>
          <w:szCs w:val="20"/>
        </w:rPr>
        <w:t>,</w:t>
      </w:r>
      <w:r>
        <w:rPr>
          <w:rFonts w:hint="eastAsia" w:ascii="Times" w:hAnsi="Times" w:cs="Times"/>
          <w:sz w:val="20"/>
          <w:szCs w:val="20"/>
        </w:rPr>
        <w:t xml:space="preserve"> </w:t>
      </w:r>
      <w:r>
        <w:rPr>
          <w:rFonts w:ascii="Times" w:hAnsi="Times" w:cs="Times"/>
          <w:sz w:val="20"/>
          <w:szCs w:val="20"/>
        </w:rPr>
        <w:t>in the case when</w:t>
      </w:r>
      <w:r>
        <w:rPr>
          <w:rFonts w:hint="eastAsia" w:ascii="Times" w:hAnsi="Times" w:cs="Times"/>
          <w:sz w:val="20"/>
          <w:szCs w:val="20"/>
        </w:rPr>
        <w:t xml:space="preserve"> SFN PDSCH is not configured</w:t>
      </w:r>
      <w:r>
        <w:rPr>
          <w:rFonts w:ascii="Times" w:hAnsi="Times" w:cs="Times"/>
          <w:sz w:val="20"/>
          <w:szCs w:val="20"/>
        </w:rPr>
        <w:t xml:space="preserve"> and SFN PDCCH is configured, we think RRC parameter </w:t>
      </w:r>
      <w:r>
        <w:rPr>
          <w:rFonts w:ascii="Times" w:hAnsi="Times" w:cs="Times"/>
          <w:i/>
          <w:iCs/>
          <w:sz w:val="20"/>
          <w:szCs w:val="20"/>
        </w:rPr>
        <w:t xml:space="preserve">enableTwoDefaultTCIStates </w:t>
      </w:r>
      <w:r>
        <w:rPr>
          <w:rFonts w:ascii="Times" w:hAnsi="Times" w:cs="Times"/>
          <w:iCs/>
          <w:sz w:val="20"/>
          <w:szCs w:val="20"/>
        </w:rPr>
        <w:t>should not be configured as PDSCH can only be STRP scheme.</w:t>
      </w:r>
    </w:p>
    <w:p>
      <w:pPr>
        <w:snapToGrid w:val="0"/>
        <w:spacing w:before="180" w:beforeLines="50" w:after="180" w:afterLines="50" w:line="240" w:lineRule="auto"/>
        <w:jc w:val="both"/>
        <w:rPr>
          <w:rFonts w:ascii="Times" w:hAnsi="Times" w:cs="Times"/>
          <w:sz w:val="20"/>
          <w:szCs w:val="20"/>
        </w:rPr>
      </w:pPr>
      <w:r>
        <w:rPr>
          <w:rFonts w:ascii="Times New Roman" w:hAnsi="Times New Roman"/>
          <w:b/>
          <w:i/>
          <w:sz w:val="20"/>
          <w:szCs w:val="20"/>
        </w:rPr>
        <w:t xml:space="preserve">Proposal </w:t>
      </w:r>
      <w:r>
        <w:rPr>
          <w:rFonts w:hint="eastAsia" w:ascii="Times New Roman" w:hAnsi="Times New Roman"/>
          <w:b/>
          <w:i/>
          <w:sz w:val="20"/>
          <w:szCs w:val="20"/>
        </w:rPr>
        <w:t>2</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bCs/>
          <w:i/>
          <w:sz w:val="20"/>
          <w:szCs w:val="20"/>
        </w:rPr>
        <w:t xml:space="preserve">In the case when </w:t>
      </w:r>
      <w:r>
        <w:rPr>
          <w:rFonts w:ascii="Times" w:hAnsi="Times" w:cs="Times"/>
          <w:i/>
          <w:sz w:val="20"/>
          <w:szCs w:val="20"/>
        </w:rPr>
        <w:t>SFN PDSCH is not configured and SFN PDCCH is configured</w:t>
      </w:r>
      <w:r>
        <w:rPr>
          <w:rFonts w:ascii="Times New Roman" w:hAnsi="Times New Roman"/>
          <w:bCs/>
          <w:i/>
          <w:sz w:val="20"/>
          <w:szCs w:val="20"/>
        </w:rPr>
        <w:t xml:space="preserve">, </w:t>
      </w:r>
      <w:r>
        <w:rPr>
          <w:rFonts w:ascii="Times" w:hAnsi="Times" w:cs="Times"/>
          <w:i/>
          <w:iCs/>
          <w:sz w:val="20"/>
          <w:szCs w:val="20"/>
        </w:rPr>
        <w:t>enableTwoDefaultTCIStates should not be configured.</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FR2, the center carrier frequency would be higher, Doppler impact will be more serious because of the high speed. We believe network based frequency pre-compensation solution is useful as similar as in FR1. From specification perspective, the previous agreements for scheme-1 and pre-compensation can be used for both FR1 and FR2, and no more extra specification effort is needed  for FR2. Hence there is no need to explicitly restrict this feature in FR2. </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Proposal 3:</w:t>
      </w:r>
      <w:r>
        <w:rPr>
          <w:rFonts w:ascii="Times New Roman" w:hAnsi="Times New Roman"/>
          <w:i/>
          <w:sz w:val="20"/>
          <w:szCs w:val="20"/>
        </w:rPr>
        <w:t xml:space="preserve"> Pre-compensation should be supported for FR2.</w:t>
      </w:r>
    </w:p>
    <w:p>
      <w:pPr>
        <w:pStyle w:val="3"/>
        <w:numPr>
          <w:ilvl w:val="1"/>
          <w:numId w:val="4"/>
        </w:numPr>
        <w:snapToGrid w:val="0"/>
        <w:spacing w:before="180" w:beforeLines="50" w:after="180" w:afterLines="50" w:line="240" w:lineRule="auto"/>
        <w:rPr>
          <w:rFonts w:ascii="Arial" w:hAnsi="Arial" w:cs="Arial"/>
          <w:sz w:val="24"/>
          <w:szCs w:val="24"/>
        </w:rPr>
      </w:pPr>
      <w:bookmarkStart w:id="10" w:name="OLE_LINK18"/>
      <w:r>
        <w:rPr>
          <w:rFonts w:ascii="Arial" w:hAnsi="Arial" w:cs="Arial"/>
          <w:sz w:val="24"/>
          <w:szCs w:val="24"/>
        </w:rPr>
        <w:t xml:space="preserve">Default </w:t>
      </w:r>
      <w:r>
        <w:rPr>
          <w:rFonts w:hint="eastAsia" w:ascii="Arial" w:hAnsi="Arial" w:cs="Arial"/>
          <w:sz w:val="24"/>
          <w:szCs w:val="24"/>
        </w:rPr>
        <w:t>spatial for UL transmission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Based on the following agreement made in </w:t>
      </w:r>
      <w:r>
        <w:rPr>
          <w:rFonts w:hint="eastAsia" w:ascii="Times New Roman" w:hAnsi="Times New Roman"/>
          <w:sz w:val="20"/>
          <w:szCs w:val="20"/>
        </w:rPr>
        <w:t>RAN1 106</w:t>
      </w:r>
      <w:r>
        <w:rPr>
          <w:rFonts w:ascii="Times New Roman" w:hAnsi="Times New Roman"/>
          <w:sz w:val="20"/>
          <w:szCs w:val="20"/>
        </w:rPr>
        <w:t>-</w:t>
      </w:r>
      <w:r>
        <w:rPr>
          <w:rFonts w:hint="eastAsia" w:ascii="Times New Roman" w:hAnsi="Times New Roman"/>
          <w:sz w:val="20"/>
          <w:szCs w:val="20"/>
        </w:rPr>
        <w:t>e</w:t>
      </w:r>
      <w:r>
        <w:rPr>
          <w:rFonts w:ascii="Times New Roman" w:hAnsi="Times New Roman"/>
          <w:sz w:val="20"/>
          <w:szCs w:val="20"/>
        </w:rPr>
        <w:t xml:space="preserve"> </w:t>
      </w:r>
      <w:r>
        <w:rPr>
          <w:rFonts w:hint="eastAsia" w:ascii="Times New Roman" w:hAnsi="Times New Roman"/>
          <w:sz w:val="20"/>
          <w:szCs w:val="20"/>
        </w:rPr>
        <w:t>meeting</w:t>
      </w:r>
      <w:r>
        <w:rPr>
          <w:rFonts w:ascii="Times New Roman" w:hAnsi="Times New Roman"/>
          <w:sz w:val="20"/>
          <w:szCs w:val="20"/>
        </w:rPr>
        <w:t>, i</w:t>
      </w:r>
      <w:r>
        <w:rPr>
          <w:rFonts w:hint="eastAsia" w:ascii="Times New Roman" w:hAnsi="Times New Roman"/>
          <w:sz w:val="20"/>
          <w:szCs w:val="20"/>
        </w:rPr>
        <w:t>f spatial relation and PL-RS information are not configured</w:t>
      </w:r>
      <w:r>
        <w:rPr>
          <w:rFonts w:ascii="Times New Roman" w:hAnsi="Times New Roman"/>
          <w:sz w:val="20"/>
          <w:szCs w:val="20"/>
        </w:rPr>
        <w:t>,</w:t>
      </w:r>
      <w:r>
        <w:rPr>
          <w:rFonts w:hint="eastAsia" w:ascii="Times New Roman" w:hAnsi="Times New Roman"/>
          <w:sz w:val="20"/>
          <w:szCs w:val="20"/>
        </w:rPr>
        <w:t xml:space="preserve"> and default beam is enabled for the PUCCH or PUSCH transmission for single TRP, the spatial relation and PL-RS of PUCCH or PUSCH transmission are associated with the CORESET with the lowest index.</w:t>
      </w:r>
      <w:r>
        <w:rPr>
          <w:rFonts w:ascii="Times New Roman" w:hAnsi="Times New Roman"/>
          <w:sz w:val="20"/>
          <w:szCs w:val="20"/>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w:hAnsi="Times" w:cs="Times"/>
                <w:sz w:val="20"/>
              </w:rPr>
            </w:pPr>
            <w:r>
              <w:rPr>
                <w:rFonts w:ascii="Times New Roman" w:hAnsi="Times New Roman"/>
                <w:sz w:val="20"/>
                <w:szCs w:val="20"/>
                <w:u w:val="single"/>
              </w:rPr>
              <w:t>Agreement:</w:t>
            </w:r>
          </w:p>
          <w:p>
            <w:pPr>
              <w:pStyle w:val="99"/>
              <w:snapToGrid w:val="0"/>
              <w:spacing w:after="0" w:line="240" w:lineRule="auto"/>
              <w:ind w:firstLine="0" w:firstLineChars="0"/>
              <w:contextualSpacing/>
              <w:rPr>
                <w:rFonts w:ascii="Times New Roman" w:hAnsi="Times New Roman" w:eastAsia="Malgun Gothic"/>
                <w:sz w:val="20"/>
                <w:szCs w:val="20"/>
                <w:lang w:eastAsia="ja-JP"/>
              </w:rPr>
            </w:pPr>
            <w:r>
              <w:rPr>
                <w:rFonts w:ascii="Times New Roman" w:hAnsi="Times New Roman" w:eastAsia="Malgun Gothic"/>
                <w:sz w:val="20"/>
                <w:szCs w:val="20"/>
                <w:lang w:eastAsia="ja-JP"/>
              </w:rPr>
              <w:t>If enhanced SFN PDCCH transmission scheme (scheme 1 or if TRP-based pre-compensation is supported in FR2) is configured, and if the CORESET with the lowest ID in the active DL BWP is indicated with two TCI states </w:t>
            </w:r>
          </w:p>
          <w:p>
            <w:pPr>
              <w:pStyle w:val="98"/>
              <w:numPr>
                <w:ilvl w:val="0"/>
                <w:numId w:val="5"/>
              </w:numPr>
              <w:snapToGrid w:val="0"/>
              <w:spacing w:after="0" w:line="240" w:lineRule="auto"/>
              <w:ind w:left="726" w:hanging="363"/>
              <w:jc w:val="both"/>
              <w:rPr>
                <w:rFonts w:ascii="Times" w:hAnsi="Times" w:cs="Times"/>
                <w:sz w:val="20"/>
                <w:szCs w:val="20"/>
              </w:rPr>
            </w:pPr>
            <w:r>
              <w:rPr>
                <w:rFonts w:ascii="Times" w:hAnsi="Times" w:cs="Times"/>
                <w:sz w:val="20"/>
                <w:szCs w:val="20"/>
              </w:rPr>
              <w:t xml:space="preserve">If PL-RS and spatial relation information are not configured for PUCCH and </w:t>
            </w:r>
            <w:r>
              <w:rPr>
                <w:rFonts w:ascii="Times" w:hAnsi="Times" w:cs="Times"/>
                <w:i/>
                <w:iCs/>
                <w:sz w:val="20"/>
                <w:szCs w:val="20"/>
              </w:rPr>
              <w:t>enableDefaultBeamPL-ForPUCCH</w:t>
            </w:r>
            <w:r>
              <w:rPr>
                <w:rFonts w:ascii="Times" w:hAnsi="Times" w:cs="Times"/>
                <w:sz w:val="20"/>
                <w:szCs w:val="20"/>
              </w:rPr>
              <w:t> is configured in FR2 </w:t>
            </w:r>
          </w:p>
          <w:p>
            <w:pPr>
              <w:pStyle w:val="103"/>
              <w:numPr>
                <w:ilvl w:val="1"/>
                <w:numId w:val="6"/>
              </w:numPr>
              <w:snapToGrid w:val="0"/>
              <w:spacing w:before="0" w:beforeAutospacing="0" w:after="0" w:afterAutospacing="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For single-TRP PUCCH transmission, select the first TCI state of the CORESET as default beam and PL RS </w:t>
            </w:r>
          </w:p>
          <w:p>
            <w:pPr>
              <w:pStyle w:val="98"/>
              <w:numPr>
                <w:ilvl w:val="0"/>
                <w:numId w:val="5"/>
              </w:numPr>
              <w:snapToGrid w:val="0"/>
              <w:spacing w:after="0" w:line="240" w:lineRule="auto"/>
              <w:ind w:left="726" w:hanging="363"/>
              <w:jc w:val="both"/>
              <w:rPr>
                <w:rFonts w:ascii="Times" w:hAnsi="Times" w:cs="Times"/>
                <w:sz w:val="20"/>
                <w:szCs w:val="20"/>
              </w:rPr>
            </w:pPr>
            <w:r>
              <w:rPr>
                <w:rFonts w:ascii="Times" w:hAnsi="Times" w:cs="Times"/>
                <w:sz w:val="20"/>
                <w:szCs w:val="20"/>
              </w:rPr>
              <w:t xml:space="preserve">If PUSCH scheduled by DCI format 0_0 and </w:t>
            </w:r>
            <w:r>
              <w:rPr>
                <w:rFonts w:ascii="Times" w:hAnsi="Times" w:cs="Times"/>
                <w:i/>
                <w:iCs/>
                <w:sz w:val="20"/>
                <w:szCs w:val="20"/>
              </w:rPr>
              <w:t>enableDefaultBeamPL-ForPUSCH0-0</w:t>
            </w:r>
            <w:r>
              <w:rPr>
                <w:rFonts w:ascii="Times" w:hAnsi="Times" w:cs="Times"/>
                <w:sz w:val="20"/>
                <w:szCs w:val="20"/>
              </w:rPr>
              <w:t xml:space="preserve"> is configured in FR2, and if PUCCH resource is not configured on active UL BWP in the cell or if spatial relation is not configured in any PUCCH resource on active UL BWP in the cell, </w:t>
            </w:r>
          </w:p>
          <w:p>
            <w:pPr>
              <w:pStyle w:val="103"/>
              <w:numPr>
                <w:ilvl w:val="1"/>
                <w:numId w:val="6"/>
              </w:numPr>
              <w:snapToGrid w:val="0"/>
              <w:spacing w:before="0" w:beforeAutospacing="0" w:after="0" w:afterAutospacing="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For single-TRP PUSCH transmission scheduled by DCI format 0_0, select the first TCI state of the CORESET as default beam and PL RS </w:t>
            </w:r>
          </w:p>
          <w:p>
            <w:pPr>
              <w:pStyle w:val="98"/>
              <w:numPr>
                <w:ilvl w:val="0"/>
                <w:numId w:val="5"/>
              </w:numPr>
              <w:snapToGrid w:val="0"/>
              <w:spacing w:after="0" w:line="240" w:lineRule="auto"/>
              <w:ind w:left="726" w:hanging="363"/>
              <w:jc w:val="both"/>
              <w:rPr>
                <w:rFonts w:ascii="Times" w:hAnsi="Times" w:cs="Times"/>
                <w:sz w:val="20"/>
                <w:szCs w:val="20"/>
              </w:rPr>
            </w:pPr>
            <w:r>
              <w:rPr>
                <w:rFonts w:ascii="Times" w:hAnsi="Times" w:cs="Times"/>
                <w:sz w:val="20"/>
                <w:szCs w:val="20"/>
              </w:rPr>
              <w:t xml:space="preserve">If PL-RS and spatial relation information are not configured for SRS and </w:t>
            </w:r>
            <w:r>
              <w:rPr>
                <w:rFonts w:ascii="Times" w:hAnsi="Times" w:cs="Times"/>
                <w:i/>
                <w:iCs/>
                <w:sz w:val="20"/>
                <w:szCs w:val="20"/>
              </w:rPr>
              <w:t>enableDefaultBeamPL-ForSRS</w:t>
            </w:r>
            <w:r>
              <w:rPr>
                <w:rFonts w:ascii="Times" w:hAnsi="Times" w:cs="Times"/>
                <w:sz w:val="20"/>
                <w:szCs w:val="20"/>
              </w:rPr>
              <w:t xml:space="preserve"> is configured in FR2 </w:t>
            </w:r>
          </w:p>
          <w:p>
            <w:pPr>
              <w:pStyle w:val="103"/>
              <w:numPr>
                <w:ilvl w:val="1"/>
                <w:numId w:val="6"/>
              </w:numPr>
              <w:snapToGrid w:val="0"/>
              <w:spacing w:before="0" w:beforeAutospacing="0" w:after="0" w:afterAutospacing="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For single-TRP SRS resource, select the first TCI state of the CORESET as default beam and PL RS </w:t>
            </w:r>
          </w:p>
          <w:p>
            <w:pPr>
              <w:pStyle w:val="98"/>
              <w:numPr>
                <w:ilvl w:val="0"/>
                <w:numId w:val="5"/>
              </w:numPr>
              <w:snapToGrid w:val="0"/>
              <w:spacing w:after="0" w:line="240" w:lineRule="auto"/>
              <w:ind w:left="726" w:hanging="363"/>
              <w:jc w:val="both"/>
              <w:rPr>
                <w:rFonts w:ascii="Times" w:hAnsi="Times" w:cs="Times"/>
                <w:sz w:val="20"/>
                <w:szCs w:val="20"/>
              </w:rPr>
            </w:pPr>
            <w:r>
              <w:rPr>
                <w:rFonts w:ascii="Times" w:hAnsi="Times" w:cs="Times"/>
                <w:sz w:val="20"/>
                <w:szCs w:val="20"/>
              </w:rPr>
              <w:t>FFS other details, if any </w:t>
            </w:r>
          </w:p>
          <w:p>
            <w:pPr>
              <w:pStyle w:val="98"/>
              <w:numPr>
                <w:ilvl w:val="0"/>
                <w:numId w:val="5"/>
              </w:numPr>
              <w:snapToGrid w:val="0"/>
              <w:spacing w:after="0" w:line="240" w:lineRule="auto"/>
              <w:ind w:left="726" w:hanging="363"/>
              <w:jc w:val="both"/>
              <w:rPr>
                <w:rFonts w:ascii="Times New Roman" w:hAnsi="Times New Roman"/>
                <w:sz w:val="24"/>
                <w:szCs w:val="24"/>
              </w:rPr>
            </w:pPr>
            <w:r>
              <w:rPr>
                <w:rFonts w:ascii="Times" w:hAnsi="Times" w:cs="Times"/>
                <w:sz w:val="20"/>
                <w:szCs w:val="20"/>
              </w:rPr>
              <w:t>These are UE optional features </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above default spatial relation and PL-RS are only defined in the case of single-TRP PUSCH/PUCCH/SRS transmission scheme. We still need to complete the solution for multi-TRP based PUCCH/PUSCH/SRS transmission.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To achieve beam diversity</w:t>
      </w:r>
      <w:r>
        <w:rPr>
          <w:rFonts w:hint="eastAsia" w:ascii="Times New Roman" w:hAnsi="Times New Roman"/>
          <w:sz w:val="20"/>
          <w:szCs w:val="20"/>
        </w:rPr>
        <w:t xml:space="preserve"> for PUCCH repetition</w:t>
      </w:r>
      <w:r>
        <w:rPr>
          <w:rFonts w:ascii="Times New Roman" w:hAnsi="Times New Roman"/>
          <w:sz w:val="20"/>
          <w:szCs w:val="20"/>
        </w:rPr>
        <w:t xml:space="preserve"> in MTRP scenarios</w:t>
      </w:r>
      <w:r>
        <w:rPr>
          <w:rFonts w:hint="eastAsia" w:ascii="Times New Roman" w:hAnsi="Times New Roman"/>
          <w:sz w:val="20"/>
          <w:szCs w:val="20"/>
        </w:rPr>
        <w:t xml:space="preserve">, the two TCI states of the CORESET with the lowest ID can be used for different PUCCH transmission </w:t>
      </w:r>
      <w:r>
        <w:rPr>
          <w:rFonts w:ascii="Times New Roman" w:hAnsi="Times New Roman"/>
          <w:sz w:val="20"/>
          <w:szCs w:val="20"/>
        </w:rPr>
        <w:t>occasion group</w:t>
      </w:r>
      <w:r>
        <w:rPr>
          <w:rFonts w:hint="eastAsia" w:ascii="Times New Roman" w:hAnsi="Times New Roman"/>
          <w:sz w:val="20"/>
          <w:szCs w:val="20"/>
        </w:rPr>
        <w:t>s.</w:t>
      </w:r>
      <w:r>
        <w:rPr>
          <w:rFonts w:ascii="Times New Roman" w:hAnsi="Times New Roman"/>
          <w:sz w:val="20"/>
          <w:szCs w:val="20"/>
        </w:rPr>
        <w:t xml:space="preserve"> Then, MTRP transmission can be supported in such case. The mapping between the spatial relations and PUCCH transmission occasions can rely on whether ‘cyclic’ or ‘sequential’ beam mapping is configured by RRC signaling as discussed in section 8.1.2.1.</w:t>
      </w:r>
    </w:p>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Based on the</w:t>
      </w:r>
      <w:r>
        <w:rPr>
          <w:rFonts w:hint="eastAsia" w:ascii="Times New Roman" w:hAnsi="Times New Roman"/>
          <w:sz w:val="20"/>
          <w:szCs w:val="20"/>
        </w:rPr>
        <w:t xml:space="preserve"> above analysis, we make the following proposal:</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Proposal 4:</w:t>
      </w:r>
      <w:r>
        <w:rPr>
          <w:rFonts w:ascii="Times New Roman" w:hAnsi="Times New Roman"/>
          <w:b/>
          <w:bCs/>
          <w:i/>
          <w:iCs/>
          <w:sz w:val="20"/>
          <w:szCs w:val="20"/>
        </w:rPr>
        <w:t xml:space="preserve"> </w:t>
      </w:r>
      <w:r>
        <w:rPr>
          <w:rFonts w:ascii="Times New Roman" w:hAnsi="Times New Roman"/>
          <w:i/>
          <w:iCs/>
          <w:sz w:val="20"/>
          <w:szCs w:val="20"/>
        </w:rPr>
        <w:t xml:space="preserve">When PL-RS and spatial relation information are not configured and default beam is enabled for the PUCCH transmission, </w:t>
      </w:r>
      <w:r>
        <w:rPr>
          <w:rFonts w:hint="eastAsia" w:ascii="Times New Roman" w:hAnsi="Times New Roman"/>
          <w:i/>
          <w:iCs/>
          <w:sz w:val="20"/>
          <w:szCs w:val="20"/>
        </w:rPr>
        <w:t>if two TCI states are activated for the CORESET with the lowest ID on the active DL BWP</w:t>
      </w:r>
      <w:r>
        <w:rPr>
          <w:rFonts w:ascii="Times New Roman" w:hAnsi="Times New Roman"/>
          <w:i/>
          <w:iCs/>
          <w:sz w:val="20"/>
          <w:szCs w:val="20"/>
        </w:rPr>
        <w:t xml:space="preserve">, </w:t>
      </w:r>
    </w:p>
    <w:p>
      <w:pPr>
        <w:numPr>
          <w:ilvl w:val="0"/>
          <w:numId w:val="8"/>
        </w:numPr>
        <w:snapToGrid w:val="0"/>
        <w:spacing w:after="0" w:line="240" w:lineRule="auto"/>
        <w:jc w:val="both"/>
        <w:rPr>
          <w:rFonts w:ascii="Times New Roman" w:hAnsi="Times New Roman"/>
          <w:sz w:val="24"/>
          <w:szCs w:val="24"/>
        </w:rPr>
      </w:pPr>
      <w:r>
        <w:rPr>
          <w:rFonts w:hint="eastAsia" w:ascii="Times New Roman" w:hAnsi="Times New Roman"/>
          <w:i/>
          <w:iCs/>
          <w:sz w:val="20"/>
          <w:szCs w:val="20"/>
        </w:rPr>
        <w:t xml:space="preserve">If PUCCH repetition is configured, the two TCI states activated for the CORESET with the lowest ID on the active DL BWP are used to determine the spatial relation </w:t>
      </w:r>
      <w:r>
        <w:rPr>
          <w:rFonts w:hint="eastAsia" w:ascii="Times New Roman" w:hAnsi="Times New Roman"/>
          <w:i/>
          <w:iCs/>
          <w:sz w:val="20"/>
          <w:szCs w:val="20"/>
        </w:rPr>
        <w:t>and PL-RS of PUCCH transmission occasions</w:t>
      </w:r>
      <w:r>
        <w:rPr>
          <w:rFonts w:hint="eastAsia" w:ascii="Times New Roman" w:hAnsi="Times New Roman"/>
          <w:i/>
          <w:iCs/>
          <w:sz w:val="20"/>
          <w:szCs w:val="20"/>
        </w:rPr>
        <w:t>, and each TCI state is associated to one PUCCH transmission occasion group.</w:t>
      </w:r>
      <w:r>
        <w:rPr>
          <w:rFonts w:hint="eastAsia" w:ascii="Times New Roman" w:hAnsi="Times New Roman"/>
          <w:i/>
          <w:iCs/>
          <w:sz w:val="20"/>
          <w:szCs w:val="20"/>
        </w:rPr>
        <w:tab/>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Likewise, if</w:t>
      </w:r>
      <w:r>
        <w:rPr>
          <w:rFonts w:hint="eastAsia" w:ascii="Times New Roman" w:hAnsi="Times New Roman"/>
          <w:sz w:val="20"/>
          <w:szCs w:val="20"/>
        </w:rPr>
        <w:t xml:space="preserve"> PUSCH repetition</w:t>
      </w:r>
      <w:r>
        <w:rPr>
          <w:rFonts w:ascii="Times New Roman" w:hAnsi="Times New Roman"/>
          <w:sz w:val="20"/>
          <w:szCs w:val="20"/>
        </w:rPr>
        <w:t xml:space="preserve"> (i.e. repetition</w:t>
      </w:r>
      <w:r>
        <w:rPr>
          <w:rFonts w:hint="eastAsia" w:ascii="Times New Roman" w:hAnsi="Times New Roman"/>
          <w:sz w:val="20"/>
          <w:szCs w:val="20"/>
        </w:rPr>
        <w:t xml:space="preserve"> type A</w:t>
      </w:r>
      <w:r>
        <w:rPr>
          <w:rFonts w:ascii="Times New Roman" w:hAnsi="Times New Roman"/>
          <w:sz w:val="20"/>
          <w:szCs w:val="20"/>
        </w:rPr>
        <w:t>) is</w:t>
      </w:r>
      <w:r>
        <w:rPr>
          <w:rFonts w:hint="eastAsia" w:ascii="Times New Roman" w:hAnsi="Times New Roman"/>
          <w:sz w:val="20"/>
          <w:szCs w:val="20"/>
        </w:rPr>
        <w:t xml:space="preserve"> scheduled by DCI format 0_0, the two TCI states of the CORESET with the lowest ID can be used </w:t>
      </w:r>
      <w:r>
        <w:rPr>
          <w:rFonts w:ascii="Times New Roman" w:hAnsi="Times New Roman"/>
          <w:sz w:val="20"/>
          <w:szCs w:val="20"/>
        </w:rPr>
        <w:t xml:space="preserve">to determine the spatial relation of </w:t>
      </w:r>
      <w:r>
        <w:rPr>
          <w:rFonts w:hint="eastAsia" w:ascii="Times New Roman" w:hAnsi="Times New Roman"/>
          <w:sz w:val="20"/>
          <w:szCs w:val="20"/>
        </w:rPr>
        <w:t>different PUSCH transmission occasion groups.</w:t>
      </w:r>
      <w:r>
        <w:rPr>
          <w:rFonts w:ascii="Times New Roman" w:hAnsi="Times New Roman"/>
          <w:sz w:val="20"/>
          <w:szCs w:val="20"/>
        </w:rPr>
        <w:t xml:space="preserve"> Then, MTRP PUSCH can be supported in such case. The mapping between the spatial relations and PUSCH transmission occasions can also rely on whether ‘cyclic’ or ‘sequential’ beam mapping is configured by RRC signaling as discussed in section 8.1.2.1.</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above analysis, we make the following proposal:</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Proposal 5:</w:t>
      </w:r>
      <w:r>
        <w:rPr>
          <w:rFonts w:ascii="Times New Roman" w:hAnsi="Times New Roman"/>
          <w:b/>
          <w:bCs/>
          <w:i/>
          <w:iCs/>
          <w:sz w:val="20"/>
          <w:szCs w:val="20"/>
        </w:rPr>
        <w:t xml:space="preserve"> </w:t>
      </w:r>
      <w:r>
        <w:rPr>
          <w:rFonts w:ascii="Times New Roman" w:hAnsi="Times New Roman"/>
          <w:bCs/>
          <w:i/>
          <w:iCs/>
          <w:sz w:val="20"/>
          <w:szCs w:val="20"/>
        </w:rPr>
        <w:t xml:space="preserve">When the default spatial relation </w:t>
      </w:r>
      <w:r>
        <w:rPr>
          <w:rFonts w:hint="eastAsia" w:ascii="Times New Roman" w:hAnsi="Times New Roman"/>
          <w:bCs/>
          <w:i/>
          <w:iCs/>
          <w:sz w:val="20"/>
          <w:szCs w:val="20"/>
        </w:rPr>
        <w:t xml:space="preserve">and PL-RS </w:t>
      </w:r>
      <w:r>
        <w:rPr>
          <w:rFonts w:ascii="Times New Roman" w:hAnsi="Times New Roman"/>
          <w:bCs/>
          <w:i/>
          <w:iCs/>
          <w:sz w:val="20"/>
          <w:szCs w:val="20"/>
        </w:rPr>
        <w:t xml:space="preserve">of PUSCH </w:t>
      </w:r>
      <w:r>
        <w:rPr>
          <w:rFonts w:hint="eastAsia" w:ascii="Times New Roman" w:hAnsi="Times New Roman"/>
          <w:bCs/>
          <w:i/>
          <w:iCs/>
          <w:sz w:val="20"/>
          <w:szCs w:val="20"/>
        </w:rPr>
        <w:t xml:space="preserve">are </w:t>
      </w:r>
      <w:r>
        <w:rPr>
          <w:rFonts w:ascii="Times New Roman" w:hAnsi="Times New Roman"/>
          <w:bCs/>
          <w:i/>
          <w:iCs/>
          <w:sz w:val="20"/>
          <w:szCs w:val="20"/>
        </w:rPr>
        <w:t xml:space="preserve">determined by QCL assumption of CORESET with lowest ID, and </w:t>
      </w:r>
      <w:r>
        <w:rPr>
          <w:rFonts w:hint="eastAsia" w:ascii="Times New Roman" w:hAnsi="Times New Roman"/>
          <w:i/>
          <w:iCs/>
          <w:sz w:val="20"/>
          <w:szCs w:val="20"/>
        </w:rPr>
        <w:t>two TCI states are activated for the CORESET</w:t>
      </w:r>
      <w:r>
        <w:rPr>
          <w:rFonts w:ascii="Times New Roman" w:hAnsi="Times New Roman"/>
          <w:i/>
          <w:iCs/>
          <w:sz w:val="20"/>
          <w:szCs w:val="20"/>
        </w:rPr>
        <w:t>,</w:t>
      </w:r>
    </w:p>
    <w:p>
      <w:pPr>
        <w:numPr>
          <w:ilvl w:val="0"/>
          <w:numId w:val="8"/>
        </w:numPr>
        <w:snapToGrid w:val="0"/>
        <w:spacing w:after="0" w:line="240" w:lineRule="auto"/>
        <w:jc w:val="both"/>
        <w:rPr>
          <w:rFonts w:ascii="Times New Roman" w:hAnsi="Times New Roman"/>
          <w:sz w:val="20"/>
          <w:szCs w:val="20"/>
        </w:rPr>
      </w:pPr>
      <w:r>
        <w:rPr>
          <w:rFonts w:hint="eastAsia" w:ascii="Times New Roman" w:hAnsi="Times New Roman"/>
          <w:i/>
          <w:iCs/>
          <w:sz w:val="20"/>
          <w:szCs w:val="20"/>
        </w:rPr>
        <w:t>If PUSCH repetition is configured, the two TCI states activated for the CORESET with the lowest ID are used as the default spatial relation and PL-RS, and each TCI state is associated to one PUSCH transmission occasion group.</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addition, if two SRS resource sets for codebook/non-codebook are configured for Rel-17 MTRP PUSCH transmission as discussed in section 8.1.2.1, where separate power controls for two SRS resource sets have been agreed, we propose to use both activated TCI states of the CORESET to determine the PL-RS and spatial relation of the two SRS resource sets in such case, where the activated TCI states and the SRS resource sets for codebook are mapped in order.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above analysis, we make the following proposal:</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Proposal 6:</w:t>
      </w:r>
      <w:r>
        <w:rPr>
          <w:rFonts w:ascii="Times New Roman" w:hAnsi="Times New Roman"/>
          <w:b/>
          <w:bCs/>
          <w:i/>
          <w:iCs/>
          <w:sz w:val="20"/>
          <w:szCs w:val="20"/>
        </w:rPr>
        <w:t xml:space="preserve"> </w:t>
      </w:r>
      <w:r>
        <w:rPr>
          <w:rFonts w:ascii="Times New Roman" w:hAnsi="Times New Roman"/>
          <w:bCs/>
          <w:i/>
          <w:iCs/>
          <w:sz w:val="20"/>
          <w:szCs w:val="20"/>
        </w:rPr>
        <w:t xml:space="preserve">When the default </w:t>
      </w:r>
      <w:bookmarkStart w:id="11" w:name="OLE_LINK14"/>
      <w:r>
        <w:rPr>
          <w:rFonts w:hint="eastAsia" w:ascii="Times New Roman" w:hAnsi="Times New Roman"/>
          <w:bCs/>
          <w:i/>
          <w:iCs/>
          <w:sz w:val="20"/>
          <w:szCs w:val="20"/>
        </w:rPr>
        <w:t xml:space="preserve">spatial relation and </w:t>
      </w:r>
      <w:r>
        <w:rPr>
          <w:rFonts w:ascii="Times New Roman" w:hAnsi="Times New Roman"/>
          <w:bCs/>
          <w:i/>
          <w:iCs/>
          <w:sz w:val="20"/>
          <w:szCs w:val="20"/>
        </w:rPr>
        <w:t xml:space="preserve">PL-RS of SRS </w:t>
      </w:r>
      <w:r>
        <w:rPr>
          <w:rFonts w:hint="eastAsia" w:ascii="Times New Roman" w:hAnsi="Times New Roman"/>
          <w:bCs/>
          <w:i/>
          <w:iCs/>
          <w:sz w:val="20"/>
          <w:szCs w:val="20"/>
        </w:rPr>
        <w:t>are</w:t>
      </w:r>
      <w:bookmarkEnd w:id="11"/>
      <w:r>
        <w:rPr>
          <w:rFonts w:hint="eastAsia" w:ascii="Times New Roman" w:hAnsi="Times New Roman"/>
          <w:bCs/>
          <w:i/>
          <w:iCs/>
          <w:sz w:val="20"/>
          <w:szCs w:val="20"/>
        </w:rPr>
        <w:t xml:space="preserve"> </w:t>
      </w:r>
      <w:r>
        <w:rPr>
          <w:rFonts w:ascii="Times New Roman" w:hAnsi="Times New Roman"/>
          <w:bCs/>
          <w:i/>
          <w:iCs/>
          <w:sz w:val="20"/>
          <w:szCs w:val="20"/>
        </w:rPr>
        <w:t xml:space="preserve">determined by QCL RS of CORESET with lowest ID, and </w:t>
      </w:r>
      <w:r>
        <w:rPr>
          <w:rFonts w:hint="eastAsia" w:ascii="Times New Roman" w:hAnsi="Times New Roman"/>
          <w:i/>
          <w:iCs/>
          <w:sz w:val="20"/>
          <w:szCs w:val="20"/>
        </w:rPr>
        <w:t>two TCI states are activated for the CORESET,</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w:t>
      </w:r>
      <w:r>
        <w:rPr>
          <w:rFonts w:ascii="Times New Roman" w:hAnsi="Times New Roman"/>
          <w:i/>
          <w:iCs/>
          <w:sz w:val="20"/>
          <w:szCs w:val="20"/>
        </w:rPr>
        <w:t xml:space="preserve">f two SRS resource sets for codebook/non-codebook are configured, </w:t>
      </w:r>
      <w:r>
        <w:rPr>
          <w:rFonts w:hint="eastAsia" w:ascii="Times New Roman" w:hAnsi="Times New Roman"/>
          <w:i/>
          <w:iCs/>
          <w:sz w:val="20"/>
          <w:szCs w:val="20"/>
        </w:rPr>
        <w:t xml:space="preserve">the two TCI states activated for the CORESET with the lowest ID are used as the default beam and </w:t>
      </w:r>
      <w:r>
        <w:rPr>
          <w:rFonts w:ascii="Times New Roman" w:hAnsi="Times New Roman"/>
          <w:i/>
          <w:iCs/>
          <w:sz w:val="20"/>
          <w:szCs w:val="20"/>
        </w:rPr>
        <w:t>PL-RS of SRS</w:t>
      </w:r>
      <w:r>
        <w:rPr>
          <w:rFonts w:hint="eastAsia" w:ascii="Times New Roman" w:hAnsi="Times New Roman"/>
          <w:i/>
          <w:iCs/>
          <w:sz w:val="20"/>
          <w:szCs w:val="20"/>
        </w:rPr>
        <w:t>, and each TCI states is associated to one</w:t>
      </w:r>
      <w:r>
        <w:rPr>
          <w:rFonts w:ascii="Times New Roman" w:hAnsi="Times New Roman"/>
          <w:i/>
          <w:iCs/>
          <w:sz w:val="20"/>
          <w:szCs w:val="20"/>
        </w:rPr>
        <w:t xml:space="preserve"> SRS resource set</w:t>
      </w:r>
    </w:p>
    <w:p>
      <w:pPr>
        <w:pStyle w:val="3"/>
        <w:numPr>
          <w:ilvl w:val="1"/>
          <w:numId w:val="4"/>
        </w:numPr>
        <w:snapToGrid w:val="0"/>
        <w:spacing w:before="180" w:beforeLines="50" w:after="180" w:afterLines="50" w:line="240" w:lineRule="auto"/>
        <w:rPr>
          <w:rFonts w:ascii="Arial" w:hAnsi="Arial" w:cs="Arial"/>
          <w:sz w:val="24"/>
          <w:szCs w:val="24"/>
        </w:rPr>
      </w:pPr>
      <w:r>
        <w:rPr>
          <w:rFonts w:hint="eastAsia" w:ascii="Arial" w:hAnsi="Arial" w:cs="Arial"/>
          <w:sz w:val="24"/>
          <w:szCs w:val="24"/>
        </w:rPr>
        <w:t>Enhancement on BFR</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RAN#106bis e-meeting, </w:t>
      </w:r>
      <w:r>
        <w:rPr>
          <w:rFonts w:ascii="Times New Roman" w:hAnsi="Times New Roman"/>
          <w:sz w:val="20"/>
          <w:szCs w:val="20"/>
        </w:rPr>
        <w:t>two</w:t>
      </w:r>
      <w:r>
        <w:rPr>
          <w:rFonts w:hint="eastAsia" w:ascii="Times New Roman" w:hAnsi="Times New Roman"/>
          <w:sz w:val="20"/>
          <w:szCs w:val="20"/>
        </w:rPr>
        <w:t xml:space="preserve"> proposal</w:t>
      </w:r>
      <w:r>
        <w:rPr>
          <w:rFonts w:ascii="Times New Roman" w:hAnsi="Times New Roman"/>
          <w:sz w:val="20"/>
          <w:szCs w:val="20"/>
        </w:rPr>
        <w:t>s were</w:t>
      </w:r>
      <w:r>
        <w:rPr>
          <w:rFonts w:hint="eastAsia" w:ascii="Times New Roman" w:hAnsi="Times New Roman"/>
          <w:sz w:val="20"/>
          <w:szCs w:val="20"/>
        </w:rPr>
        <w:t xml:space="preserve"> agreed as </w:t>
      </w:r>
      <w:r>
        <w:rPr>
          <w:rFonts w:ascii="Times New Roman" w:hAnsi="Times New Roman"/>
          <w:sz w:val="20"/>
          <w:szCs w:val="20"/>
        </w:rPr>
        <w:t>follows</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w:t>
            </w:r>
          </w:p>
          <w:p>
            <w:pPr>
              <w:pStyle w:val="114"/>
              <w:snapToGrid w:val="0"/>
              <w:spacing w:before="0" w:beforeAutospacing="0" w:after="0" w:afterAutospacing="0" w:line="240" w:lineRule="auto"/>
              <w:ind w:left="1701" w:hanging="1701"/>
              <w:jc w:val="both"/>
              <w:rPr>
                <w:rFonts w:ascii="Times" w:hAnsi="Times" w:cs="Times"/>
                <w:sz w:val="20"/>
                <w:szCs w:val="20"/>
                <w:lang w:eastAsia="zh-CN"/>
              </w:rPr>
            </w:pPr>
            <w:r>
              <w:rPr>
                <w:rFonts w:ascii="Times" w:hAnsi="Times" w:cs="Times"/>
                <w:sz w:val="20"/>
                <w:szCs w:val="20"/>
                <w:lang w:eastAsia="zh-CN"/>
              </w:rPr>
              <w:t>When CORESET is indicated with two TCI states</w:t>
            </w:r>
          </w:p>
          <w:p>
            <w:pPr>
              <w:pStyle w:val="115"/>
              <w:numPr>
                <w:ilvl w:val="0"/>
                <w:numId w:val="9"/>
              </w:numPr>
              <w:snapToGrid w:val="0"/>
              <w:spacing w:before="0" w:beforeAutospacing="0" w:after="0" w:afterAutospacing="0" w:line="240" w:lineRule="auto"/>
              <w:jc w:val="both"/>
              <w:rPr>
                <w:rFonts w:ascii="Times" w:hAnsi="Times" w:eastAsia="Calibri" w:cs="Times"/>
                <w:sz w:val="20"/>
                <w:szCs w:val="20"/>
                <w:lang w:eastAsia="zh-CN"/>
              </w:rPr>
            </w:pPr>
            <w:r>
              <w:rPr>
                <w:rFonts w:ascii="Times" w:hAnsi="Times" w:eastAsia="Calibri" w:cs="Times"/>
                <w:sz w:val="20"/>
                <w:szCs w:val="20"/>
                <w:lang w:eastAsia="zh-CN"/>
              </w:rPr>
              <w:t>One BFD RS pair for SFN CORESET is counted as two BFD RSs</w:t>
            </w:r>
          </w:p>
          <w:p>
            <w:pPr>
              <w:pStyle w:val="115"/>
              <w:numPr>
                <w:ilvl w:val="0"/>
                <w:numId w:val="10"/>
              </w:numPr>
              <w:snapToGrid w:val="0"/>
              <w:spacing w:before="0" w:beforeAutospacing="0" w:after="0" w:afterAutospacing="0" w:line="240" w:lineRule="auto"/>
              <w:jc w:val="both"/>
              <w:rPr>
                <w:rFonts w:ascii="Times" w:hAnsi="Times" w:eastAsia="Calibri" w:cs="Times"/>
                <w:sz w:val="20"/>
                <w:szCs w:val="20"/>
                <w:lang w:eastAsia="zh-CN"/>
              </w:rPr>
            </w:pPr>
            <w:r>
              <w:rPr>
                <w:rFonts w:ascii="Times" w:hAnsi="Times" w:eastAsia="Calibri" w:cs="Times"/>
                <w:sz w:val="20"/>
                <w:szCs w:val="20"/>
                <w:lang w:eastAsia="zh-CN"/>
              </w:rPr>
              <w:t>FFS: Increase the maximum number of monitored BFD RSs to X.</w:t>
            </w:r>
          </w:p>
          <w:p>
            <w:pPr>
              <w:pStyle w:val="115"/>
              <w:numPr>
                <w:ilvl w:val="1"/>
                <w:numId w:val="11"/>
              </w:numPr>
              <w:snapToGrid w:val="0"/>
              <w:spacing w:before="0" w:beforeAutospacing="0" w:after="0" w:afterAutospacing="0" w:line="240" w:lineRule="auto"/>
              <w:jc w:val="both"/>
              <w:rPr>
                <w:rFonts w:ascii="Times" w:hAnsi="Times" w:cs="Times"/>
                <w:sz w:val="20"/>
                <w:szCs w:val="20"/>
                <w:lang w:eastAsia="zh-CN"/>
              </w:rPr>
            </w:pPr>
            <w:r>
              <w:rPr>
                <w:rFonts w:ascii="Times" w:hAnsi="Times" w:cs="Times"/>
                <w:sz w:val="20"/>
                <w:szCs w:val="20"/>
                <w:lang w:eastAsia="zh-CN"/>
              </w:rPr>
              <w:t>X is UE capability</w:t>
            </w:r>
          </w:p>
          <w:p>
            <w:pPr>
              <w:pStyle w:val="115"/>
              <w:numPr>
                <w:ilvl w:val="1"/>
                <w:numId w:val="11"/>
              </w:numPr>
              <w:snapToGrid w:val="0"/>
              <w:spacing w:before="0" w:beforeAutospacing="0" w:after="0" w:afterAutospacing="0" w:line="240" w:lineRule="auto"/>
              <w:jc w:val="both"/>
              <w:rPr>
                <w:rFonts w:cs="Times"/>
                <w:szCs w:val="20"/>
                <w:lang w:eastAsia="zh-CN"/>
              </w:rPr>
            </w:pPr>
            <w:r>
              <w:rPr>
                <w:rFonts w:ascii="Times" w:hAnsi="Times" w:cs="Times"/>
                <w:sz w:val="20"/>
                <w:szCs w:val="20"/>
                <w:lang w:eastAsia="zh-CN"/>
              </w:rPr>
              <w:t>X = 2, 3, 4, FFS other values of X</w:t>
            </w:r>
          </w:p>
          <w:p>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w:t>
            </w:r>
          </w:p>
          <w:p>
            <w:pPr>
              <w:pStyle w:val="114"/>
              <w:snapToGrid w:val="0"/>
              <w:spacing w:before="0" w:beforeAutospacing="0" w:after="0" w:afterAutospacing="0" w:line="240" w:lineRule="auto"/>
              <w:ind w:left="1701" w:hanging="1701"/>
              <w:jc w:val="both"/>
              <w:rPr>
                <w:rFonts w:ascii="Times" w:hAnsi="Times" w:cs="Times"/>
                <w:sz w:val="20"/>
                <w:szCs w:val="20"/>
                <w:lang w:eastAsia="zh-CN"/>
              </w:rPr>
            </w:pPr>
            <w:r>
              <w:rPr>
                <w:rFonts w:ascii="Times" w:hAnsi="Times" w:cs="Times"/>
                <w:sz w:val="20"/>
                <w:szCs w:val="20"/>
                <w:lang w:eastAsia="zh-CN"/>
              </w:rPr>
              <w:t>When two TCI states are activated for a CORESET, NBI RS can be configured as follows</w:t>
            </w:r>
          </w:p>
          <w:p>
            <w:pPr>
              <w:pStyle w:val="115"/>
              <w:numPr>
                <w:ilvl w:val="0"/>
                <w:numId w:val="9"/>
              </w:numPr>
              <w:snapToGrid w:val="0"/>
              <w:spacing w:before="0" w:beforeAutospacing="0" w:after="0" w:afterAutospacing="0" w:line="240" w:lineRule="auto"/>
              <w:jc w:val="both"/>
              <w:rPr>
                <w:rFonts w:ascii="Times" w:hAnsi="Times" w:eastAsia="Calibri" w:cs="Times"/>
                <w:sz w:val="20"/>
                <w:szCs w:val="20"/>
                <w:lang w:eastAsia="zh-CN"/>
              </w:rPr>
            </w:pPr>
            <w:r>
              <w:rPr>
                <w:rFonts w:ascii="Times" w:hAnsi="Times" w:eastAsia="Calibri" w:cs="Times"/>
                <w:sz w:val="20"/>
                <w:szCs w:val="20"/>
                <w:lang w:eastAsia="zh-CN"/>
              </w:rPr>
              <w:t>Alt 4-1</w:t>
            </w:r>
            <w:r>
              <w:rPr>
                <w:rFonts w:ascii="Times" w:hAnsi="Times" w:eastAsia="Calibri" w:cs="Times"/>
                <w:sz w:val="20"/>
                <w:szCs w:val="20"/>
                <w:lang w:val="en-GB" w:eastAsia="zh-CN"/>
              </w:rPr>
              <w:t>: Using the existing Rel-15 NBI configuration based on single SSB / CSI-RS resource</w:t>
            </w:r>
          </w:p>
          <w:p>
            <w:pPr>
              <w:pStyle w:val="115"/>
              <w:numPr>
                <w:ilvl w:val="0"/>
                <w:numId w:val="9"/>
              </w:numPr>
              <w:snapToGrid w:val="0"/>
              <w:spacing w:before="0" w:beforeAutospacing="0" w:after="0" w:afterAutospacing="0" w:line="240" w:lineRule="auto"/>
              <w:jc w:val="both"/>
              <w:rPr>
                <w:rFonts w:ascii="Times" w:hAnsi="Times" w:eastAsia="Calibri" w:cs="Times"/>
                <w:sz w:val="20"/>
                <w:szCs w:val="20"/>
                <w:lang w:eastAsia="zh-CN"/>
              </w:rPr>
            </w:pPr>
            <w:r>
              <w:rPr>
                <w:rFonts w:ascii="Times" w:hAnsi="Times" w:eastAsia="Calibri" w:cs="Times"/>
                <w:sz w:val="20"/>
                <w:szCs w:val="20"/>
                <w:lang w:eastAsia="zh-CN"/>
              </w:rPr>
              <w:t>FFS addition support of Alt 4-2</w:t>
            </w:r>
            <w:r>
              <w:rPr>
                <w:rFonts w:ascii="Times" w:hAnsi="Times" w:eastAsia="Calibri" w:cs="Times"/>
                <w:sz w:val="20"/>
                <w:szCs w:val="20"/>
                <w:lang w:val="en-GB" w:eastAsia="zh-CN"/>
              </w:rPr>
              <w:t xml:space="preserve">: </w:t>
            </w:r>
            <w:bookmarkStart w:id="12" w:name="OLE_LINK2"/>
            <w:r>
              <w:rPr>
                <w:rFonts w:ascii="Times" w:hAnsi="Times" w:eastAsia="Calibri" w:cs="Times"/>
                <w:sz w:val="20"/>
                <w:szCs w:val="20"/>
                <w:lang w:val="en-GB" w:eastAsia="zh-CN"/>
              </w:rPr>
              <w:t>two new beam identification CSI-RS resource sets / new beam identification CSI-RS resource pairs or SSB pairs</w:t>
            </w:r>
            <w:bookmarkEnd w:id="12"/>
          </w:p>
          <w:p>
            <w:pPr>
              <w:pStyle w:val="99"/>
              <w:snapToGrid w:val="0"/>
              <w:spacing w:after="0" w:line="240" w:lineRule="auto"/>
              <w:ind w:firstLine="0" w:firstLineChars="0"/>
              <w:contextualSpacing/>
              <w:rPr>
                <w:rFonts w:ascii="Times New Roman" w:hAnsi="Times New Roman"/>
                <w:i/>
                <w:iCs/>
                <w:sz w:val="20"/>
                <w:szCs w:val="20"/>
              </w:rPr>
            </w:pP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Before determin</w:t>
      </w:r>
      <w:r>
        <w:rPr>
          <w:rFonts w:ascii="Times New Roman" w:hAnsi="Times New Roman"/>
          <w:sz w:val="20"/>
          <w:szCs w:val="20"/>
        </w:rPr>
        <w:t>ing</w:t>
      </w:r>
      <w:r>
        <w:rPr>
          <w:rFonts w:hint="eastAsia" w:ascii="Times New Roman" w:hAnsi="Times New Roman"/>
          <w:sz w:val="20"/>
          <w:szCs w:val="20"/>
        </w:rPr>
        <w:t xml:space="preserve"> the value of X, one important issue is to define the BLER for the SFN based PDCCH. If two TCI states are activated for the CORESETs, two RS </w:t>
      </w:r>
      <w:r>
        <w:rPr>
          <w:rFonts w:ascii="Times New Roman" w:hAnsi="Times New Roman"/>
          <w:sz w:val="20"/>
          <w:szCs w:val="20"/>
        </w:rPr>
        <w:t>associated with</w:t>
      </w:r>
      <w:r>
        <w:rPr>
          <w:rFonts w:hint="eastAsia" w:ascii="Times New Roman" w:hAnsi="Times New Roman"/>
          <w:sz w:val="20"/>
          <w:szCs w:val="20"/>
        </w:rPr>
        <w:t xml:space="preserve"> the two TCI states </w:t>
      </w:r>
      <w:r>
        <w:rPr>
          <w:rFonts w:ascii="Times New Roman" w:hAnsi="Times New Roman"/>
          <w:sz w:val="20"/>
          <w:szCs w:val="20"/>
        </w:rPr>
        <w:t>are</w:t>
      </w:r>
      <w:r>
        <w:rPr>
          <w:rFonts w:hint="eastAsia" w:ascii="Times New Roman" w:hAnsi="Times New Roman"/>
          <w:sz w:val="20"/>
          <w:szCs w:val="20"/>
        </w:rPr>
        <w:t xml:space="preserve"> used</w:t>
      </w:r>
      <w:r>
        <w:rPr>
          <w:rFonts w:ascii="Times New Roman" w:hAnsi="Times New Roman"/>
          <w:sz w:val="20"/>
          <w:szCs w:val="20"/>
        </w:rPr>
        <w:t xml:space="preserve"> for BFD</w:t>
      </w:r>
      <w:r>
        <w:rPr>
          <w:rFonts w:hint="eastAsia" w:ascii="Times New Roman" w:hAnsi="Times New Roman"/>
          <w:sz w:val="20"/>
          <w:szCs w:val="20"/>
        </w:rPr>
        <w:t xml:space="preserve">. </w:t>
      </w:r>
      <w:r>
        <w:rPr>
          <w:rFonts w:ascii="Times New Roman" w:hAnsi="Times New Roman"/>
          <w:sz w:val="20"/>
          <w:szCs w:val="20"/>
        </w:rPr>
        <w:t xml:space="preserve">That is, </w:t>
      </w:r>
      <w:r>
        <w:rPr>
          <w:rFonts w:hint="eastAsia" w:ascii="Times New Roman" w:hAnsi="Times New Roman"/>
          <w:sz w:val="20"/>
          <w:szCs w:val="20"/>
        </w:rPr>
        <w:t xml:space="preserve">the two RS can be used </w:t>
      </w:r>
      <w:r>
        <w:rPr>
          <w:rFonts w:ascii="Times New Roman" w:hAnsi="Times New Roman"/>
          <w:sz w:val="20"/>
          <w:szCs w:val="20"/>
        </w:rPr>
        <w:t>jointly used to determine whether beam failure happens or not.</w:t>
      </w:r>
      <w:r>
        <w:rPr>
          <w:rFonts w:hint="eastAsia" w:ascii="Times New Roman" w:hAnsi="Times New Roman"/>
          <w:sz w:val="20"/>
          <w:szCs w:val="20"/>
        </w:rPr>
        <w:t xml:space="preserve"> </w:t>
      </w:r>
      <w:r>
        <w:rPr>
          <w:rFonts w:ascii="Times New Roman" w:hAnsi="Times New Roman"/>
          <w:sz w:val="20"/>
          <w:szCs w:val="20"/>
        </w:rPr>
        <w:t xml:space="preserve">Hence, </w:t>
      </w:r>
      <w:r>
        <w:rPr>
          <w:rFonts w:hint="eastAsia" w:ascii="Times New Roman" w:hAnsi="Times New Roman"/>
          <w:sz w:val="20"/>
          <w:szCs w:val="20"/>
        </w:rPr>
        <w:t xml:space="preserve">a new BLER </w:t>
      </w:r>
      <w:r>
        <w:rPr>
          <w:rFonts w:ascii="Times New Roman" w:hAnsi="Times New Roman"/>
          <w:sz w:val="20"/>
          <w:szCs w:val="20"/>
        </w:rPr>
        <w:t>should be</w:t>
      </w:r>
      <w:r>
        <w:rPr>
          <w:rFonts w:hint="eastAsia" w:ascii="Times New Roman" w:hAnsi="Times New Roman"/>
          <w:sz w:val="20"/>
          <w:szCs w:val="20"/>
        </w:rPr>
        <w:t xml:space="preserve"> calculated based on the two TCI states of the CORESET, and</w:t>
      </w:r>
      <w:r>
        <w:rPr>
          <w:rFonts w:ascii="Times New Roman" w:hAnsi="Times New Roman"/>
          <w:sz w:val="20"/>
          <w:szCs w:val="20"/>
        </w:rPr>
        <w:t xml:space="preserve"> then</w:t>
      </w:r>
      <w:r>
        <w:rPr>
          <w:rFonts w:hint="eastAsia" w:ascii="Times New Roman" w:hAnsi="Times New Roman"/>
          <w:sz w:val="20"/>
          <w:szCs w:val="20"/>
        </w:rPr>
        <w:t xml:space="preserve"> the combined BLER can </w:t>
      </w:r>
      <w:r>
        <w:rPr>
          <w:rFonts w:ascii="Times New Roman" w:hAnsi="Times New Roman"/>
          <w:sz w:val="20"/>
          <w:szCs w:val="20"/>
        </w:rPr>
        <w:t>well match</w:t>
      </w:r>
      <w:r>
        <w:rPr>
          <w:rFonts w:hint="eastAsia" w:ascii="Times New Roman" w:hAnsi="Times New Roman"/>
          <w:sz w:val="20"/>
          <w:szCs w:val="20"/>
        </w:rPr>
        <w:t xml:space="preserve"> </w:t>
      </w:r>
      <w:r>
        <w:rPr>
          <w:rFonts w:ascii="Times New Roman" w:hAnsi="Times New Roman"/>
          <w:sz w:val="20"/>
          <w:szCs w:val="20"/>
        </w:rPr>
        <w:t>the</w:t>
      </w:r>
      <w:r>
        <w:rPr>
          <w:rFonts w:hint="eastAsia" w:ascii="Times New Roman" w:hAnsi="Times New Roman"/>
          <w:sz w:val="20"/>
          <w:szCs w:val="20"/>
        </w:rPr>
        <w:t xml:space="preserve"> actual </w:t>
      </w:r>
      <w:r>
        <w:rPr>
          <w:rFonts w:ascii="Times New Roman" w:hAnsi="Times New Roman"/>
          <w:sz w:val="20"/>
          <w:szCs w:val="20"/>
        </w:rPr>
        <w:t xml:space="preserve">PDCCH </w:t>
      </w:r>
      <w:r>
        <w:rPr>
          <w:rFonts w:hint="eastAsia" w:ascii="Times New Roman" w:hAnsi="Times New Roman"/>
          <w:sz w:val="20"/>
          <w:szCs w:val="20"/>
        </w:rPr>
        <w:t xml:space="preserve">transmission </w:t>
      </w:r>
      <w:r>
        <w:rPr>
          <w:rFonts w:ascii="Times New Roman" w:hAnsi="Times New Roman"/>
          <w:sz w:val="20"/>
          <w:szCs w:val="20"/>
        </w:rPr>
        <w:t>status</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Likewise, f</w:t>
      </w:r>
      <w:r>
        <w:rPr>
          <w:rFonts w:hint="eastAsia" w:ascii="Times New Roman" w:hAnsi="Times New Roman"/>
          <w:sz w:val="20"/>
          <w:szCs w:val="20"/>
        </w:rPr>
        <w:t xml:space="preserve">or explicit configuration, </w:t>
      </w:r>
      <w:r>
        <w:rPr>
          <w:rFonts w:ascii="Times New Roman" w:hAnsi="Times New Roman"/>
          <w:sz w:val="20"/>
          <w:szCs w:val="20"/>
        </w:rPr>
        <w:t>one</w:t>
      </w:r>
      <w:r>
        <w:rPr>
          <w:rFonts w:hint="eastAsia" w:ascii="Times New Roman" w:hAnsi="Times New Roman"/>
          <w:sz w:val="20"/>
          <w:szCs w:val="20"/>
        </w:rPr>
        <w:t xml:space="preserve"> CSI-RS resource</w:t>
      </w:r>
      <w:r>
        <w:rPr>
          <w:rFonts w:ascii="Times New Roman" w:hAnsi="Times New Roman"/>
          <w:sz w:val="20"/>
          <w:szCs w:val="20"/>
        </w:rPr>
        <w:t xml:space="preserve"> pair</w:t>
      </w:r>
      <w:r>
        <w:rPr>
          <w:rFonts w:hint="eastAsia" w:ascii="Times New Roman" w:hAnsi="Times New Roman"/>
          <w:sz w:val="20"/>
          <w:szCs w:val="20"/>
        </w:rPr>
        <w:t xml:space="preserve"> or SSB </w:t>
      </w:r>
      <w:r>
        <w:rPr>
          <w:rFonts w:ascii="Times New Roman" w:hAnsi="Times New Roman"/>
          <w:sz w:val="20"/>
          <w:szCs w:val="20"/>
        </w:rPr>
        <w:t>pair can be</w:t>
      </w:r>
      <w:r>
        <w:rPr>
          <w:rFonts w:hint="eastAsia" w:ascii="Times New Roman" w:hAnsi="Times New Roman"/>
          <w:sz w:val="20"/>
          <w:szCs w:val="20"/>
        </w:rPr>
        <w:t xml:space="preserve"> configured as BFD RS</w:t>
      </w:r>
      <w:r>
        <w:rPr>
          <w:rFonts w:ascii="Times New Roman" w:hAnsi="Times New Roman"/>
          <w:sz w:val="20"/>
          <w:szCs w:val="20"/>
        </w:rPr>
        <w:t xml:space="preserve"> to well reflect channel condition of the SFN mannered PDCCH transmission</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So, from the above analysis, we make the following proposal</w:t>
      </w:r>
      <w:r>
        <w:rPr>
          <w:rFonts w:ascii="Times New Roman" w:hAnsi="Times New Roman"/>
          <w:sz w:val="20"/>
          <w:szCs w:val="20"/>
        </w:rPr>
        <w:t>.</w:t>
      </w:r>
    </w:p>
    <w:p>
      <w:pPr>
        <w:snapToGrid w:val="0"/>
        <w:spacing w:after="0" w:line="240" w:lineRule="auto"/>
        <w:rPr>
          <w:rStyle w:val="34"/>
        </w:rPr>
      </w:pPr>
      <w:r>
        <w:rPr>
          <w:rFonts w:hint="eastAsia" w:ascii="Times New Roman" w:hAnsi="Times New Roman"/>
          <w:b/>
          <w:bCs/>
          <w:i/>
          <w:iCs/>
          <w:sz w:val="20"/>
          <w:szCs w:val="20"/>
        </w:rPr>
        <w:t xml:space="preserve">Proposal 7: </w:t>
      </w:r>
      <w:r>
        <w:rPr>
          <w:rFonts w:ascii="Times New Roman" w:hAnsi="Times New Roman"/>
          <w:i/>
          <w:iCs/>
          <w:sz w:val="20"/>
          <w:szCs w:val="20"/>
        </w:rPr>
        <w:t>F</w:t>
      </w:r>
      <w:r>
        <w:rPr>
          <w:rFonts w:hint="eastAsia" w:ascii="Times New Roman" w:hAnsi="Times New Roman"/>
          <w:i/>
          <w:iCs/>
          <w:sz w:val="20"/>
          <w:szCs w:val="20"/>
        </w:rPr>
        <w:t>or BFD</w:t>
      </w:r>
    </w:p>
    <w:p>
      <w:pPr>
        <w:numPr>
          <w:ilvl w:val="0"/>
          <w:numId w:val="8"/>
        </w:numPr>
        <w:snapToGrid w:val="0"/>
        <w:spacing w:after="0" w:line="240" w:lineRule="auto"/>
        <w:ind w:left="839"/>
        <w:jc w:val="both"/>
        <w:rPr>
          <w:rFonts w:ascii="Times New Roman" w:hAnsi="Times New Roman"/>
          <w:i/>
          <w:iCs/>
          <w:sz w:val="20"/>
          <w:szCs w:val="20"/>
          <w:lang w:val="en-GB" w:eastAsia="ko-KR"/>
        </w:rPr>
      </w:pPr>
      <w:bookmarkStart w:id="13" w:name="OLE_LINK1"/>
      <w:r>
        <w:rPr>
          <w:rFonts w:hint="eastAsia" w:ascii="Times New Roman" w:hAnsi="Times New Roman"/>
          <w:i/>
          <w:iCs/>
          <w:sz w:val="20"/>
          <w:szCs w:val="20"/>
        </w:rPr>
        <w:t>F</w:t>
      </w:r>
      <w:r>
        <w:rPr>
          <w:rFonts w:ascii="Times New Roman" w:hAnsi="Times New Roman"/>
          <w:i/>
          <w:iCs/>
          <w:sz w:val="20"/>
          <w:szCs w:val="20"/>
        </w:rPr>
        <w:t xml:space="preserve">or </w:t>
      </w:r>
      <w:r>
        <w:rPr>
          <w:rFonts w:ascii="Times New Roman" w:hAnsi="Times New Roman"/>
          <w:i/>
          <w:iCs/>
          <w:sz w:val="20"/>
          <w:szCs w:val="20"/>
          <w:lang w:val="en-GB" w:eastAsia="ko-KR"/>
        </w:rPr>
        <w:t>explicit configuration</w:t>
      </w:r>
      <w:r>
        <w:rPr>
          <w:rFonts w:ascii="Times New Roman" w:hAnsi="Times New Roman"/>
          <w:i/>
          <w:iCs/>
          <w:sz w:val="20"/>
          <w:szCs w:val="20"/>
        </w:rPr>
        <w:t xml:space="preserve">, </w:t>
      </w:r>
      <w:r>
        <w:rPr>
          <w:rFonts w:hint="eastAsia" w:ascii="Times New Roman" w:hAnsi="Times New Roman"/>
          <w:i/>
          <w:iCs/>
          <w:sz w:val="20"/>
          <w:szCs w:val="20"/>
        </w:rPr>
        <w:t>s</w:t>
      </w:r>
      <w:r>
        <w:rPr>
          <w:rFonts w:ascii="Times New Roman" w:hAnsi="Times New Roman"/>
          <w:i/>
          <w:iCs/>
          <w:sz w:val="20"/>
          <w:szCs w:val="20"/>
          <w:lang w:val="en-GB" w:eastAsia="ko-KR"/>
        </w:rPr>
        <w:t xml:space="preserve">upport defining </w:t>
      </w:r>
      <w:r>
        <w:rPr>
          <w:rFonts w:ascii="Times New Roman" w:hAnsi="Times New Roman"/>
          <w:i/>
          <w:iCs/>
          <w:sz w:val="20"/>
          <w:szCs w:val="20"/>
        </w:rPr>
        <w:t>CSI-RS resource or SSB pairs</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F</w:t>
      </w:r>
      <w:r>
        <w:rPr>
          <w:rFonts w:ascii="Times New Roman" w:hAnsi="Times New Roman"/>
          <w:i/>
          <w:iCs/>
          <w:sz w:val="20"/>
          <w:szCs w:val="20"/>
        </w:rPr>
        <w:t>or implicit configuration, UE calculates single hypothetical BLER for each CORESET.</w:t>
      </w:r>
    </w:p>
    <w:bookmarkEnd w:id="13"/>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Similarly</w:t>
      </w:r>
      <w:r>
        <w:rPr>
          <w:rFonts w:ascii="Times New Roman" w:hAnsi="Times New Roman"/>
          <w:sz w:val="20"/>
          <w:szCs w:val="20"/>
        </w:rPr>
        <w:t xml:space="preserve"> for NBI</w:t>
      </w:r>
      <w:r>
        <w:rPr>
          <w:rFonts w:hint="eastAsia" w:ascii="Times New Roman" w:hAnsi="Times New Roman"/>
          <w:sz w:val="20"/>
          <w:szCs w:val="20"/>
        </w:rPr>
        <w:t xml:space="preserve">, </w:t>
      </w:r>
      <w:r>
        <w:rPr>
          <w:rFonts w:ascii="Times New Roman" w:hAnsi="Times New Roman"/>
          <w:sz w:val="20"/>
          <w:szCs w:val="20"/>
        </w:rPr>
        <w:t>t</w:t>
      </w:r>
      <w:r>
        <w:rPr>
          <w:rFonts w:hint="eastAsia" w:ascii="Times New Roman" w:hAnsi="Times New Roman"/>
          <w:sz w:val="20"/>
          <w:szCs w:val="20"/>
        </w:rPr>
        <w:t xml:space="preserve">he candidate </w:t>
      </w:r>
      <w:r>
        <w:rPr>
          <w:rFonts w:ascii="Times New Roman" w:hAnsi="Times New Roman"/>
          <w:sz w:val="20"/>
          <w:szCs w:val="20"/>
        </w:rPr>
        <w:t xml:space="preserve">of new </w:t>
      </w:r>
      <w:r>
        <w:rPr>
          <w:rFonts w:hint="eastAsia" w:ascii="Times New Roman" w:hAnsi="Times New Roman"/>
          <w:sz w:val="20"/>
          <w:szCs w:val="20"/>
        </w:rPr>
        <w:t>beam</w:t>
      </w:r>
      <w:r>
        <w:rPr>
          <w:rFonts w:ascii="Times New Roman" w:hAnsi="Times New Roman"/>
          <w:sz w:val="20"/>
          <w:szCs w:val="20"/>
        </w:rPr>
        <w:t>s</w:t>
      </w:r>
      <w:r>
        <w:rPr>
          <w:rFonts w:hint="eastAsia" w:ascii="Times New Roman" w:hAnsi="Times New Roman"/>
          <w:sz w:val="20"/>
          <w:szCs w:val="20"/>
        </w:rPr>
        <w:t xml:space="preserve"> </w:t>
      </w:r>
      <w:r>
        <w:rPr>
          <w:rFonts w:ascii="Times New Roman" w:hAnsi="Times New Roman"/>
          <w:sz w:val="20"/>
          <w:szCs w:val="20"/>
        </w:rPr>
        <w:t>can</w:t>
      </w:r>
      <w:r>
        <w:rPr>
          <w:rFonts w:hint="eastAsia" w:ascii="Times New Roman" w:hAnsi="Times New Roman"/>
          <w:sz w:val="20"/>
          <w:szCs w:val="20"/>
        </w:rPr>
        <w:t xml:space="preserve"> be configured containing </w:t>
      </w:r>
      <w:r>
        <w:rPr>
          <w:rFonts w:ascii="Times New Roman" w:hAnsi="Times New Roman"/>
          <w:sz w:val="20"/>
          <w:szCs w:val="20"/>
        </w:rPr>
        <w:t>either</w:t>
      </w:r>
      <w:r>
        <w:rPr>
          <w:rFonts w:hint="eastAsia" w:ascii="Times New Roman" w:hAnsi="Times New Roman"/>
          <w:sz w:val="20"/>
          <w:szCs w:val="20"/>
        </w:rPr>
        <w:t xml:space="preserve"> </w:t>
      </w:r>
      <w:r>
        <w:rPr>
          <w:rFonts w:ascii="Times New Roman" w:hAnsi="Times New Roman"/>
          <w:sz w:val="20"/>
          <w:szCs w:val="20"/>
        </w:rPr>
        <w:t xml:space="preserve">one individual beam or a beam </w:t>
      </w:r>
      <w:r>
        <w:rPr>
          <w:rFonts w:hint="eastAsia" w:ascii="Times New Roman" w:hAnsi="Times New Roman"/>
          <w:sz w:val="20"/>
          <w:szCs w:val="20"/>
        </w:rPr>
        <w:t>pair</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 xml:space="preserve">If UE can identify one new beam pair, it will be very helpful in HST scenario where </w:t>
      </w:r>
      <w:r>
        <w:rPr>
          <w:rFonts w:hint="eastAsia" w:ascii="Times New Roman" w:hAnsi="Times New Roman"/>
          <w:sz w:val="20"/>
          <w:szCs w:val="20"/>
        </w:rPr>
        <w:t xml:space="preserve">the </w:t>
      </w:r>
      <w:r>
        <w:rPr>
          <w:rFonts w:ascii="Times New Roman" w:hAnsi="Times New Roman"/>
          <w:sz w:val="20"/>
          <w:szCs w:val="20"/>
        </w:rPr>
        <w:t xml:space="preserve">beam </w:t>
      </w:r>
      <w:r>
        <w:rPr>
          <w:rFonts w:hint="eastAsia" w:ascii="Times New Roman" w:hAnsi="Times New Roman"/>
          <w:sz w:val="20"/>
          <w:szCs w:val="20"/>
        </w:rPr>
        <w:t>pair can be used for SFN based transmission.</w:t>
      </w:r>
    </w:p>
    <w:p>
      <w:pPr>
        <w:snapToGrid w:val="0"/>
        <w:spacing w:before="180" w:beforeLines="50" w:after="10" w:line="240" w:lineRule="auto"/>
        <w:rPr>
          <w:rFonts w:ascii="Times New Roman" w:hAnsi="Times New Roman"/>
          <w:i/>
          <w:iCs/>
          <w:sz w:val="20"/>
          <w:szCs w:val="20"/>
        </w:rPr>
      </w:pPr>
      <w:bookmarkStart w:id="14" w:name="OLE_LINK21"/>
      <w:r>
        <w:rPr>
          <w:rFonts w:hint="eastAsia" w:ascii="Times New Roman" w:hAnsi="Times New Roman"/>
          <w:b/>
          <w:bCs/>
          <w:i/>
          <w:iCs/>
          <w:sz w:val="20"/>
          <w:szCs w:val="20"/>
        </w:rPr>
        <w:t xml:space="preserve">Proposal 8: </w:t>
      </w:r>
      <w:r>
        <w:rPr>
          <w:rFonts w:ascii="Times New Roman" w:hAnsi="Times New Roman"/>
          <w:i/>
          <w:iCs/>
          <w:sz w:val="20"/>
          <w:szCs w:val="20"/>
        </w:rPr>
        <w:t>F</w:t>
      </w:r>
      <w:r>
        <w:rPr>
          <w:rFonts w:hint="eastAsia" w:ascii="Times New Roman" w:hAnsi="Times New Roman"/>
          <w:i/>
          <w:iCs/>
          <w:sz w:val="20"/>
          <w:szCs w:val="20"/>
        </w:rPr>
        <w:t>or NBI, Alt 4-2 should be additionally support</w:t>
      </w:r>
      <w:r>
        <w:rPr>
          <w:rFonts w:ascii="Times New Roman" w:hAnsi="Times New Roman"/>
          <w:i/>
          <w:iCs/>
          <w:sz w:val="20"/>
          <w:szCs w:val="20"/>
        </w:rPr>
        <w:t>ed</w:t>
      </w:r>
      <w:r>
        <w:rPr>
          <w:rFonts w:hint="eastAsia" w:ascii="Times New Roman" w:hAnsi="Times New Roman"/>
          <w:i/>
          <w:iCs/>
          <w:sz w:val="20"/>
          <w:szCs w:val="20"/>
        </w:rPr>
        <w:t xml:space="preserve">, i.e. </w:t>
      </w:r>
      <w:r>
        <w:rPr>
          <w:rFonts w:ascii="Times" w:hAnsi="Times" w:eastAsia="Calibri" w:cs="Times"/>
          <w:i/>
          <w:iCs/>
          <w:sz w:val="20"/>
          <w:szCs w:val="20"/>
          <w:lang w:val="en-GB"/>
        </w:rPr>
        <w:t>two new beam identification CSI-RS resource sets / new beam identification CSI-RS resource pairs or SSB pairs</w:t>
      </w:r>
      <w:r>
        <w:rPr>
          <w:rFonts w:hint="eastAsia" w:ascii="Times New Roman" w:hAnsi="Times New Roman"/>
          <w:i/>
          <w:iCs/>
          <w:sz w:val="20"/>
          <w:szCs w:val="20"/>
        </w:rPr>
        <w:t>.</w:t>
      </w:r>
    </w:p>
    <w:p>
      <w:pPr>
        <w:pStyle w:val="3"/>
        <w:numPr>
          <w:ilvl w:val="1"/>
          <w:numId w:val="4"/>
        </w:numPr>
        <w:snapToGrid w:val="0"/>
        <w:spacing w:before="180" w:beforeLines="50" w:after="180" w:afterLines="50" w:line="240" w:lineRule="auto"/>
        <w:rPr>
          <w:rFonts w:ascii="Arial" w:hAnsi="Arial" w:cs="Arial"/>
          <w:sz w:val="24"/>
          <w:szCs w:val="24"/>
        </w:rPr>
      </w:pPr>
      <w:r>
        <w:rPr>
          <w:rFonts w:hint="eastAsia" w:ascii="Arial" w:hAnsi="Arial" w:cs="Arial"/>
          <w:sz w:val="24"/>
          <w:szCs w:val="24"/>
        </w:rPr>
        <w:t>Overlapping PDCCH occasions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RAN1#106bis</w:t>
      </w:r>
      <w:r>
        <w:rPr>
          <w:rFonts w:ascii="Times New Roman" w:hAnsi="Times New Roman"/>
          <w:sz w:val="20"/>
          <w:szCs w:val="20"/>
        </w:rPr>
        <w:t>-</w:t>
      </w:r>
      <w:r>
        <w:rPr>
          <w:rFonts w:hint="eastAsia" w:ascii="Times New Roman" w:hAnsi="Times New Roman"/>
          <w:sz w:val="20"/>
          <w:szCs w:val="20"/>
        </w:rPr>
        <w:t>e</w:t>
      </w:r>
      <w:r>
        <w:rPr>
          <w:rFonts w:ascii="Times New Roman" w:hAnsi="Times New Roman"/>
          <w:sz w:val="20"/>
          <w:szCs w:val="20"/>
        </w:rPr>
        <w:t xml:space="preserve"> </w:t>
      </w:r>
      <w:r>
        <w:rPr>
          <w:rFonts w:hint="eastAsia" w:ascii="Times New Roman" w:hAnsi="Times New Roman"/>
          <w:sz w:val="20"/>
          <w:szCs w:val="20"/>
        </w:rPr>
        <w:t>meeting, one issue is listed in the feature lead summary</w:t>
      </w:r>
      <w:r>
        <w:rPr>
          <w:rFonts w:ascii="Times New Roman" w:hAnsi="Times New Roman"/>
          <w:sz w:val="20"/>
          <w:szCs w:val="20"/>
        </w:rPr>
        <w:t xml:space="preserve"> </w:t>
      </w:r>
      <w:r>
        <w:rPr>
          <w:rFonts w:hint="eastAsia" w:ascii="Times New Roman" w:hAnsi="Times New Roman"/>
          <w:sz w:val="20"/>
          <w:szCs w:val="20"/>
        </w:rPr>
        <w:t xml:space="preserve">[3]as </w:t>
      </w:r>
      <w:r>
        <w:rPr>
          <w:rFonts w:ascii="Times New Roman" w:hAnsi="Times New Roman"/>
          <w:sz w:val="20"/>
          <w:szCs w:val="20"/>
        </w:rPr>
        <w:t>follows</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sz w:val="20"/>
                <w:szCs w:val="20"/>
              </w:rPr>
            </w:pPr>
            <w:r>
              <w:rPr>
                <w:rFonts w:ascii="Times New Roman" w:hAnsi="Times New Roman"/>
                <w:sz w:val="20"/>
                <w:szCs w:val="20"/>
              </w:rPr>
              <w:t>Issue #4-9:</w:t>
            </w:r>
          </w:p>
          <w:p>
            <w:pPr>
              <w:pStyle w:val="99"/>
              <w:snapToGrid w:val="0"/>
              <w:spacing w:after="0" w:line="240" w:lineRule="auto"/>
              <w:ind w:firstLine="0" w:firstLineChars="0"/>
              <w:rPr>
                <w:rFonts w:ascii="Times New Roman" w:hAnsi="Times New Roman"/>
                <w:bCs/>
                <w:iCs/>
                <w:sz w:val="20"/>
                <w:szCs w:val="20"/>
              </w:rPr>
            </w:pPr>
            <w:r>
              <w:rPr>
                <w:rFonts w:ascii="Times New Roman" w:hAnsi="Times New Roman"/>
                <w:bCs/>
                <w:iCs/>
                <w:sz w:val="20"/>
                <w:szCs w:val="20"/>
              </w:rPr>
              <w:t xml:space="preserve">When a CORESET is activated with two TCI states which overlaps with another CORESET, support PDCCH monitoring of PDCCH candidates in overlapping monitoring occasions with QCL-TypeD properties identified according to prioritization rule </w:t>
            </w:r>
          </w:p>
          <w:p>
            <w:pPr>
              <w:pStyle w:val="98"/>
              <w:numPr>
                <w:ilvl w:val="0"/>
                <w:numId w:val="5"/>
              </w:numPr>
              <w:snapToGrid w:val="0"/>
              <w:spacing w:after="0" w:line="240" w:lineRule="auto"/>
              <w:ind w:left="726" w:hanging="363"/>
              <w:jc w:val="both"/>
              <w:rPr>
                <w:rFonts w:ascii="Times" w:hAnsi="Times" w:cs="Times"/>
                <w:sz w:val="20"/>
                <w:szCs w:val="20"/>
              </w:rPr>
            </w:pPr>
            <w:r>
              <w:rPr>
                <w:rFonts w:ascii="Times" w:hAnsi="Times" w:cs="Times"/>
                <w:sz w:val="20"/>
                <w:szCs w:val="20"/>
              </w:rPr>
              <w:t xml:space="preserve">Down-select one alternative </w:t>
            </w:r>
          </w:p>
          <w:p>
            <w:pPr>
              <w:pStyle w:val="104"/>
              <w:numPr>
                <w:ilvl w:val="1"/>
                <w:numId w:val="7"/>
              </w:numPr>
              <w:snapToGrid w:val="0"/>
              <w:spacing w:before="0" w:beforeAutospacing="0" w:after="0" w:afterAutospacing="0" w:line="240" w:lineRule="auto"/>
              <w:ind w:hanging="363"/>
              <w:jc w:val="both"/>
              <w:rPr>
                <w:rStyle w:val="30"/>
                <w:rFonts w:ascii="Times" w:hAnsi="Times" w:eastAsia="Times New Roman" w:cs="Times"/>
                <w:b w:val="0"/>
                <w:sz w:val="20"/>
                <w:szCs w:val="20"/>
                <w:lang w:val="en-GB"/>
              </w:rPr>
            </w:pPr>
            <w:r>
              <w:rPr>
                <w:rStyle w:val="30"/>
                <w:rFonts w:ascii="Times" w:hAnsi="Times" w:eastAsia="Times New Roman" w:cs="Times"/>
                <w:b w:val="0"/>
                <w:sz w:val="20"/>
                <w:szCs w:val="20"/>
                <w:lang w:val="en-GB"/>
              </w:rPr>
              <w:t>Alt 1: Search Space (SS) type &gt; serving cell index &gt; SS set ID</w:t>
            </w:r>
          </w:p>
          <w:p>
            <w:pPr>
              <w:pStyle w:val="104"/>
              <w:numPr>
                <w:ilvl w:val="1"/>
                <w:numId w:val="7"/>
              </w:numPr>
              <w:snapToGrid w:val="0"/>
              <w:spacing w:before="0" w:beforeAutospacing="0" w:after="0" w:afterAutospacing="0" w:line="240" w:lineRule="auto"/>
              <w:ind w:hanging="363"/>
              <w:jc w:val="both"/>
              <w:rPr>
                <w:rStyle w:val="30"/>
                <w:rFonts w:ascii="Times" w:hAnsi="Times" w:eastAsia="Times New Roman" w:cs="Times"/>
                <w:b w:val="0"/>
                <w:sz w:val="20"/>
                <w:szCs w:val="20"/>
                <w:lang w:val="en-GB"/>
              </w:rPr>
            </w:pPr>
            <w:r>
              <w:rPr>
                <w:rStyle w:val="30"/>
                <w:rFonts w:ascii="Times" w:hAnsi="Times" w:eastAsia="Times New Roman" w:cs="Times"/>
                <w:b w:val="0"/>
                <w:sz w:val="20"/>
                <w:szCs w:val="20"/>
                <w:lang w:val="en-GB"/>
              </w:rPr>
              <w:t>Alt 2: SS type &gt; serving cell index &gt; SS set ID &gt; the number of TCI states of CORESET</w:t>
            </w:r>
          </w:p>
          <w:p>
            <w:pPr>
              <w:pStyle w:val="104"/>
              <w:numPr>
                <w:ilvl w:val="2"/>
                <w:numId w:val="7"/>
              </w:numPr>
              <w:snapToGrid w:val="0"/>
              <w:spacing w:before="0" w:beforeAutospacing="0" w:after="0" w:afterAutospacing="0" w:line="240" w:lineRule="auto"/>
              <w:ind w:hanging="363"/>
              <w:jc w:val="both"/>
              <w:rPr>
                <w:rFonts w:ascii="Times" w:hAnsi="Times" w:eastAsia="Times New Roman" w:cs="Times"/>
                <w:sz w:val="20"/>
                <w:szCs w:val="20"/>
                <w:lang w:val="en-GB"/>
              </w:rPr>
            </w:pPr>
            <w:r>
              <w:rPr>
                <w:rFonts w:ascii="Times" w:hAnsi="Times" w:eastAsia="Times New Roman" w:cs="Times"/>
                <w:sz w:val="20"/>
                <w:szCs w:val="20"/>
                <w:lang w:val="en-GB"/>
              </w:rPr>
              <w:t xml:space="preserve">If prioritized CORESET has one TCI state, the second QCL type D is identified by the first TCI of a CORESET with the second highest priority </w:t>
            </w:r>
          </w:p>
          <w:p>
            <w:pPr>
              <w:pStyle w:val="104"/>
              <w:numPr>
                <w:ilvl w:val="1"/>
                <w:numId w:val="7"/>
              </w:numPr>
              <w:snapToGrid w:val="0"/>
              <w:spacing w:before="0" w:beforeAutospacing="0" w:after="0" w:afterAutospacing="0" w:line="240" w:lineRule="auto"/>
              <w:ind w:hanging="363"/>
              <w:jc w:val="both"/>
              <w:rPr>
                <w:rStyle w:val="30"/>
                <w:rFonts w:ascii="Times" w:hAnsi="Times" w:eastAsia="Times New Roman" w:cs="Times"/>
                <w:b w:val="0"/>
                <w:sz w:val="20"/>
                <w:szCs w:val="20"/>
                <w:lang w:val="en-GB"/>
              </w:rPr>
            </w:pPr>
            <w:r>
              <w:rPr>
                <w:rStyle w:val="30"/>
                <w:rFonts w:ascii="Times" w:hAnsi="Times" w:eastAsia="Times New Roman" w:cs="Times"/>
                <w:b w:val="0"/>
                <w:sz w:val="20"/>
                <w:szCs w:val="20"/>
                <w:lang w:val="en-GB"/>
              </w:rPr>
              <w:t>Alt 3: SS type &gt; serving cell index &gt; SS set ID &gt; the number of TCI states of CORESET</w:t>
            </w:r>
          </w:p>
          <w:p>
            <w:pPr>
              <w:pStyle w:val="104"/>
              <w:numPr>
                <w:ilvl w:val="2"/>
                <w:numId w:val="7"/>
              </w:numPr>
              <w:snapToGrid w:val="0"/>
              <w:spacing w:before="0" w:beforeAutospacing="0" w:after="0" w:afterAutospacing="0" w:line="240" w:lineRule="auto"/>
              <w:ind w:hanging="363"/>
              <w:jc w:val="both"/>
              <w:rPr>
                <w:rFonts w:ascii="Times" w:hAnsi="Times" w:eastAsia="Times New Roman" w:cs="Times"/>
                <w:sz w:val="20"/>
                <w:szCs w:val="20"/>
                <w:lang w:val="en-GB"/>
              </w:rPr>
            </w:pPr>
            <w:r>
              <w:rPr>
                <w:rFonts w:ascii="Times" w:hAnsi="Times" w:eastAsia="Times New Roman" w:cs="Times"/>
                <w:sz w:val="20"/>
                <w:szCs w:val="20"/>
                <w:lang w:val="en-GB"/>
              </w:rPr>
              <w:t>If prioritized CORESET has one TCI state, the second QCL type D is identified according to one of the SS sets that is linked with a CORESET with the first QCL-TypeD among the multiple overlapping CORESETs); and</w:t>
            </w:r>
          </w:p>
          <w:p>
            <w:pPr>
              <w:pStyle w:val="104"/>
              <w:numPr>
                <w:ilvl w:val="2"/>
                <w:numId w:val="7"/>
              </w:numPr>
              <w:snapToGrid w:val="0"/>
              <w:spacing w:before="0" w:beforeAutospacing="0" w:after="0" w:afterAutospacing="0" w:line="240" w:lineRule="auto"/>
              <w:ind w:hanging="363"/>
              <w:jc w:val="both"/>
              <w:rPr>
                <w:rFonts w:ascii="Times" w:hAnsi="Times" w:eastAsia="Times New Roman" w:cs="Times"/>
                <w:sz w:val="20"/>
                <w:szCs w:val="20"/>
                <w:lang w:val="en-GB"/>
              </w:rPr>
            </w:pPr>
            <w:r>
              <w:rPr>
                <w:rFonts w:ascii="Times" w:hAnsi="Times" w:eastAsia="Times New Roman" w:cs="Times"/>
                <w:sz w:val="20"/>
                <w:szCs w:val="20"/>
                <w:lang w:val="en-GB"/>
              </w:rPr>
              <w:t>In case of multiple such CORESETs, Rel. 15 priority order is used for the second QCL-TypeD determination.</w:t>
            </w:r>
          </w:p>
          <w:p>
            <w:pPr>
              <w:pStyle w:val="104"/>
              <w:numPr>
                <w:ilvl w:val="1"/>
                <w:numId w:val="7"/>
              </w:numPr>
              <w:snapToGrid w:val="0"/>
              <w:spacing w:before="0" w:beforeAutospacing="0" w:after="0" w:afterAutospacing="0" w:line="240" w:lineRule="auto"/>
              <w:ind w:hanging="363"/>
              <w:jc w:val="both"/>
              <w:rPr>
                <w:rStyle w:val="30"/>
                <w:rFonts w:ascii="Times" w:hAnsi="Times" w:eastAsia="Times New Roman" w:cs="Times"/>
                <w:b w:val="0"/>
                <w:sz w:val="20"/>
                <w:szCs w:val="20"/>
                <w:lang w:val="en-GB"/>
              </w:rPr>
            </w:pPr>
            <w:r>
              <w:rPr>
                <w:rStyle w:val="30"/>
                <w:rFonts w:ascii="Times" w:hAnsi="Times" w:eastAsia="Times New Roman" w:cs="Times"/>
                <w:b w:val="0"/>
                <w:sz w:val="20"/>
                <w:szCs w:val="20"/>
                <w:lang w:val="en-GB"/>
              </w:rPr>
              <w:t xml:space="preserve">Alt 4: the number of TCI states for CORESET &gt; SS type &gt; serving cell index &gt; SS set ID </w:t>
            </w:r>
          </w:p>
          <w:p>
            <w:pPr>
              <w:pStyle w:val="104"/>
              <w:numPr>
                <w:ilvl w:val="1"/>
                <w:numId w:val="7"/>
              </w:numPr>
              <w:snapToGrid w:val="0"/>
              <w:spacing w:before="0" w:beforeAutospacing="0" w:after="0" w:afterAutospacing="0" w:line="240" w:lineRule="auto"/>
              <w:ind w:hanging="363"/>
              <w:jc w:val="both"/>
              <w:rPr>
                <w:rStyle w:val="30"/>
                <w:rFonts w:ascii="Times" w:hAnsi="Times" w:eastAsia="Times New Roman" w:cs="Times"/>
                <w:b w:val="0"/>
                <w:sz w:val="20"/>
                <w:szCs w:val="20"/>
                <w:lang w:val="en-GB"/>
              </w:rPr>
            </w:pPr>
            <w:r>
              <w:rPr>
                <w:rStyle w:val="30"/>
                <w:rFonts w:ascii="Times" w:hAnsi="Times" w:eastAsia="Times New Roman" w:cs="Times"/>
                <w:b w:val="0"/>
                <w:sz w:val="20"/>
                <w:szCs w:val="20"/>
                <w:lang w:val="en-GB"/>
              </w:rPr>
              <w:t>Alt 5: SS type &gt; the number of TCI states for CORESET &gt; serving cell index &gt; SS set ID</w:t>
            </w:r>
          </w:p>
          <w:p>
            <w:pPr>
              <w:pStyle w:val="104"/>
              <w:numPr>
                <w:ilvl w:val="2"/>
                <w:numId w:val="7"/>
              </w:numPr>
              <w:snapToGrid w:val="0"/>
              <w:spacing w:before="0" w:beforeAutospacing="0" w:after="0" w:afterAutospacing="0" w:line="240" w:lineRule="auto"/>
              <w:ind w:hanging="363"/>
              <w:jc w:val="both"/>
              <w:rPr>
                <w:rFonts w:ascii="Times" w:hAnsi="Times" w:eastAsia="Times New Roman" w:cs="Times"/>
                <w:sz w:val="20"/>
                <w:szCs w:val="20"/>
                <w:lang w:val="en-GB"/>
              </w:rPr>
            </w:pPr>
            <w:r>
              <w:rPr>
                <w:rFonts w:ascii="Times" w:hAnsi="Times" w:eastAsia="Times New Roman" w:cs="Times"/>
                <w:sz w:val="20"/>
                <w:szCs w:val="20"/>
                <w:lang w:val="en-GB"/>
              </w:rPr>
              <w:t>If prioritized CORESET has one TCI state, all CORESETs associated with at least the one active TCI state are also monitored.</w:t>
            </w:r>
          </w:p>
          <w:p>
            <w:pPr>
              <w:pStyle w:val="104"/>
              <w:numPr>
                <w:ilvl w:val="1"/>
                <w:numId w:val="7"/>
              </w:numPr>
              <w:snapToGrid w:val="0"/>
              <w:spacing w:before="0" w:beforeAutospacing="0" w:after="0" w:afterAutospacing="0" w:line="240" w:lineRule="auto"/>
              <w:ind w:hanging="363"/>
              <w:jc w:val="both"/>
              <w:rPr>
                <w:rStyle w:val="30"/>
                <w:rFonts w:ascii="Times" w:hAnsi="Times" w:eastAsia="Times New Roman" w:cs="Times"/>
                <w:b w:val="0"/>
                <w:sz w:val="20"/>
                <w:szCs w:val="20"/>
                <w:lang w:val="en-GB"/>
              </w:rPr>
            </w:pPr>
            <w:r>
              <w:rPr>
                <w:rStyle w:val="30"/>
                <w:rFonts w:ascii="Times" w:hAnsi="Times" w:eastAsia="Times New Roman" w:cs="Times"/>
                <w:b w:val="0"/>
                <w:sz w:val="20"/>
                <w:szCs w:val="20"/>
                <w:lang w:val="en-GB"/>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pPr>
              <w:pStyle w:val="98"/>
              <w:numPr>
                <w:ilvl w:val="0"/>
                <w:numId w:val="5"/>
              </w:numPr>
              <w:snapToGrid w:val="0"/>
              <w:spacing w:after="0" w:line="240" w:lineRule="auto"/>
              <w:ind w:left="726" w:hanging="363"/>
              <w:jc w:val="both"/>
              <w:rPr>
                <w:rFonts w:ascii="Times" w:hAnsi="Times" w:cs="Times"/>
                <w:sz w:val="20"/>
                <w:szCs w:val="20"/>
                <w:lang w:eastAsia="ko-KR"/>
              </w:rPr>
            </w:pPr>
            <w:r>
              <w:rPr>
                <w:rFonts w:ascii="Times" w:hAnsi="Times" w:cs="Times"/>
                <w:sz w:val="20"/>
                <w:szCs w:val="20"/>
                <w:lang w:eastAsia="ko-KR"/>
              </w:rPr>
              <w:t>PDCCH candidates in CORESET(s) that have one or two QCL-TypeD properties wherein at least one of them is different from two QCL-TypeD properties determined form prioritization rule above are not monitored by the UE.</w:t>
            </w:r>
          </w:p>
          <w:p>
            <w:pPr>
              <w:pStyle w:val="99"/>
              <w:snapToGrid w:val="0"/>
              <w:spacing w:after="0" w:line="240" w:lineRule="auto"/>
              <w:ind w:firstLine="0" w:firstLineChars="0"/>
              <w:contextualSpacing/>
              <w:rPr>
                <w:rFonts w:ascii="Times New Roman" w:hAnsi="Times New Roman"/>
                <w:i/>
                <w:iCs/>
                <w:sz w:val="20"/>
                <w:szCs w:val="20"/>
              </w:rPr>
            </w:pPr>
          </w:p>
        </w:tc>
      </w:tr>
    </w:tbl>
    <w:p>
      <w:pPr>
        <w:snapToGrid w:val="0"/>
        <w:spacing w:before="180" w:beforeLines="50" w:after="10" w:line="240" w:lineRule="auto"/>
        <w:jc w:val="both"/>
        <w:rPr>
          <w:rFonts w:ascii="Times New Roman" w:hAnsi="Times New Roman"/>
          <w:sz w:val="20"/>
          <w:szCs w:val="20"/>
        </w:rPr>
      </w:pPr>
      <w:r>
        <w:rPr>
          <w:rFonts w:ascii="Times New Roman" w:hAnsi="Times New Roman"/>
          <w:sz w:val="20"/>
          <w:szCs w:val="20"/>
        </w:rPr>
        <w:t>In our view, t</w:t>
      </w:r>
      <w:r>
        <w:rPr>
          <w:rFonts w:hint="eastAsia" w:ascii="Times New Roman" w:hAnsi="Times New Roman"/>
          <w:sz w:val="20"/>
          <w:szCs w:val="20"/>
        </w:rPr>
        <w:t>he Rel-15</w:t>
      </w:r>
      <w:r>
        <w:rPr>
          <w:rFonts w:ascii="Times New Roman" w:hAnsi="Times New Roman"/>
          <w:sz w:val="20"/>
          <w:szCs w:val="20"/>
        </w:rPr>
        <w:t xml:space="preserve"> </w:t>
      </w:r>
      <w:r>
        <w:rPr>
          <w:rFonts w:hint="eastAsia" w:ascii="Times New Roman" w:hAnsi="Times New Roman"/>
          <w:sz w:val="20"/>
          <w:szCs w:val="20"/>
        </w:rPr>
        <w:t xml:space="preserve">prioritization rule </w:t>
      </w:r>
      <w:r>
        <w:rPr>
          <w:rFonts w:ascii="Times New Roman" w:hAnsi="Times New Roman"/>
          <w:sz w:val="20"/>
          <w:szCs w:val="20"/>
        </w:rPr>
        <w:t>(CSS in lowest CC wit</w:t>
      </w:r>
      <w:r>
        <w:rPr>
          <w:rFonts w:hint="eastAsia" w:ascii="Times New Roman" w:hAnsi="Times New Roman"/>
          <w:sz w:val="20"/>
          <w:szCs w:val="20"/>
        </w:rPr>
        <w:t>h</w:t>
      </w:r>
      <w:r>
        <w:rPr>
          <w:rFonts w:ascii="Times New Roman" w:hAnsi="Times New Roman"/>
          <w:sz w:val="20"/>
          <w:szCs w:val="20"/>
        </w:rPr>
        <w:t xml:space="preserve"> highest priority, etc.)</w:t>
      </w:r>
      <w:r>
        <w:rPr>
          <w:rFonts w:hint="eastAsia" w:ascii="Times New Roman" w:hAnsi="Times New Roman"/>
          <w:sz w:val="20"/>
          <w:szCs w:val="20"/>
        </w:rPr>
        <w:t xml:space="preserve"> can be reused </w:t>
      </w:r>
      <w:r>
        <w:rPr>
          <w:rFonts w:ascii="Times New Roman" w:hAnsi="Times New Roman"/>
          <w:sz w:val="20"/>
          <w:szCs w:val="20"/>
        </w:rPr>
        <w:t xml:space="preserve">at least </w:t>
      </w:r>
      <w:r>
        <w:rPr>
          <w:rFonts w:hint="eastAsia" w:ascii="Times New Roman" w:hAnsi="Times New Roman"/>
          <w:sz w:val="20"/>
          <w:szCs w:val="20"/>
        </w:rPr>
        <w:t xml:space="preserve">for choosing the first TCI state containing </w:t>
      </w:r>
      <w:r>
        <w:rPr>
          <w:rFonts w:ascii="Times" w:hAnsi="Times" w:cs="Times"/>
          <w:sz w:val="20"/>
          <w:szCs w:val="20"/>
          <w:lang w:eastAsia="ko-KR"/>
        </w:rPr>
        <w:t>QCL-TypeD</w:t>
      </w:r>
      <w:r>
        <w:rPr>
          <w:rFonts w:hint="eastAsia" w:ascii="Times New Roman" w:hAnsi="Times New Roman"/>
          <w:sz w:val="20"/>
          <w:szCs w:val="20"/>
        </w:rPr>
        <w:t xml:space="preserve">. </w:t>
      </w:r>
    </w:p>
    <w:p>
      <w:pPr>
        <w:snapToGrid w:val="0"/>
        <w:jc w:val="both"/>
        <w:rPr>
          <w:rFonts w:ascii="Times New Roman" w:hAnsi="Times New Roman" w:eastAsia="宋体"/>
          <w:sz w:val="24"/>
          <w:szCs w:val="24"/>
        </w:rPr>
      </w:pPr>
      <w:r>
        <w:rPr>
          <w:rFonts w:hint="eastAsia" w:ascii="Times New Roman" w:hAnsi="Times New Roman"/>
          <w:sz w:val="20"/>
          <w:szCs w:val="20"/>
        </w:rPr>
        <w:t xml:space="preserve">For SFN based PDCCH, two TCI states can be activated for one CORESET, </w:t>
      </w:r>
      <w:r>
        <w:rPr>
          <w:rFonts w:ascii="Times New Roman" w:hAnsi="Times New Roman"/>
          <w:sz w:val="20"/>
          <w:szCs w:val="20"/>
        </w:rPr>
        <w:t>it</w:t>
      </w:r>
      <w:r>
        <w:rPr>
          <w:rFonts w:hint="eastAsia" w:ascii="Times New Roman" w:hAnsi="Times New Roman"/>
          <w:sz w:val="20"/>
          <w:szCs w:val="20"/>
        </w:rPr>
        <w:t xml:space="preserve"> means the CORESET having highest priority</w:t>
      </w:r>
      <w:r>
        <w:rPr>
          <w:rFonts w:ascii="Times New Roman" w:hAnsi="Times New Roman"/>
          <w:sz w:val="20"/>
          <w:szCs w:val="20"/>
        </w:rPr>
        <w:t xml:space="preserve"> identified by Rel-15 rule</w:t>
      </w:r>
      <w:r>
        <w:rPr>
          <w:rFonts w:hint="eastAsia" w:ascii="Times New Roman" w:hAnsi="Times New Roman"/>
          <w:sz w:val="20"/>
          <w:szCs w:val="20"/>
        </w:rPr>
        <w:t xml:space="preserve"> may be activated with two TCI states containing </w:t>
      </w:r>
      <w:r>
        <w:rPr>
          <w:rFonts w:ascii="Times" w:hAnsi="Times" w:cs="Times"/>
          <w:sz w:val="20"/>
          <w:szCs w:val="20"/>
          <w:lang w:eastAsia="ko-KR"/>
        </w:rPr>
        <w:t>QCL-TypeD</w:t>
      </w:r>
      <w:r>
        <w:rPr>
          <w:rFonts w:hint="eastAsia" w:ascii="Times New Roman" w:hAnsi="Times New Roman"/>
          <w:sz w:val="20"/>
          <w:szCs w:val="20"/>
        </w:rPr>
        <w:t xml:space="preserve">. </w:t>
      </w:r>
      <w:r>
        <w:rPr>
          <w:rFonts w:ascii="Times New Roman" w:hAnsi="Times New Roman"/>
          <w:sz w:val="20"/>
          <w:szCs w:val="20"/>
        </w:rPr>
        <w:t xml:space="preserve">Hence, </w:t>
      </w:r>
      <w:r>
        <w:rPr>
          <w:rFonts w:hint="eastAsia" w:ascii="Times New Roman" w:hAnsi="Times New Roman"/>
          <w:sz w:val="20"/>
          <w:szCs w:val="20"/>
        </w:rPr>
        <w:t xml:space="preserve">the two TCI states with </w:t>
      </w:r>
      <w:r>
        <w:rPr>
          <w:rFonts w:ascii="Times" w:hAnsi="Times" w:cs="Times"/>
          <w:sz w:val="20"/>
          <w:szCs w:val="20"/>
          <w:lang w:eastAsia="ko-KR"/>
        </w:rPr>
        <w:t>QCL-TypeD</w:t>
      </w:r>
      <w:r>
        <w:rPr>
          <w:rFonts w:hint="eastAsia" w:ascii="Times New Roman" w:hAnsi="Times New Roman"/>
          <w:sz w:val="20"/>
          <w:szCs w:val="20"/>
        </w:rPr>
        <w:t xml:space="preserve"> </w:t>
      </w:r>
      <w:r>
        <w:rPr>
          <w:rFonts w:ascii="Times New Roman" w:hAnsi="Times New Roman"/>
          <w:sz w:val="20"/>
          <w:szCs w:val="20"/>
        </w:rPr>
        <w:t>are</w:t>
      </w:r>
      <w:r>
        <w:rPr>
          <w:rFonts w:hint="eastAsia" w:ascii="Times New Roman" w:hAnsi="Times New Roman"/>
          <w:sz w:val="20"/>
          <w:szCs w:val="20"/>
        </w:rPr>
        <w:t xml:space="preserve"> </w:t>
      </w:r>
      <w:r>
        <w:rPr>
          <w:rFonts w:ascii="Times New Roman" w:hAnsi="Times New Roman"/>
          <w:sz w:val="20"/>
          <w:szCs w:val="20"/>
        </w:rPr>
        <w:t>identified</w:t>
      </w:r>
      <w:r>
        <w:rPr>
          <w:rFonts w:hint="eastAsia" w:ascii="Times New Roman" w:hAnsi="Times New Roman"/>
          <w:sz w:val="20"/>
          <w:szCs w:val="20"/>
        </w:rPr>
        <w:t xml:space="preserve"> for overlapping monitoring occasions. </w:t>
      </w:r>
      <w:r>
        <w:rPr>
          <w:rFonts w:ascii="Times New Roman" w:hAnsi="Times New Roman"/>
          <w:sz w:val="20"/>
          <w:szCs w:val="20"/>
        </w:rPr>
        <w:t xml:space="preserve">In such case, the UE will monitor PDCCH in a CORESET based on the identified </w:t>
      </w:r>
      <w:r>
        <w:rPr>
          <w:rFonts w:ascii="Times" w:hAnsi="Times" w:cs="Times"/>
          <w:sz w:val="20"/>
          <w:szCs w:val="20"/>
          <w:lang w:eastAsia="ko-KR"/>
        </w:rPr>
        <w:t>QCL-TypeD</w:t>
      </w:r>
      <w:r>
        <w:rPr>
          <w:rFonts w:ascii="Times New Roman" w:hAnsi="Times New Roman"/>
          <w:sz w:val="20"/>
          <w:szCs w:val="20"/>
        </w:rPr>
        <w:t xml:space="preserve"> if </w:t>
      </w:r>
      <w:r>
        <w:rPr>
          <w:rFonts w:ascii="Times" w:hAnsi="Times" w:cs="Times"/>
          <w:sz w:val="20"/>
          <w:szCs w:val="20"/>
          <w:lang w:eastAsia="ko-KR"/>
        </w:rPr>
        <w:t>QCL-TypeD</w:t>
      </w:r>
      <w:r>
        <w:rPr>
          <w:rFonts w:ascii="Times New Roman" w:hAnsi="Times New Roman"/>
          <w:sz w:val="20"/>
          <w:szCs w:val="20"/>
        </w:rPr>
        <w:t xml:space="preserve"> of the CORESET is same as the identified </w:t>
      </w:r>
      <w:r>
        <w:rPr>
          <w:rFonts w:ascii="Times" w:hAnsi="Times" w:cs="Times"/>
          <w:sz w:val="20"/>
          <w:szCs w:val="20"/>
          <w:lang w:eastAsia="ko-KR"/>
        </w:rPr>
        <w:t>QCL-TypeD</w:t>
      </w:r>
      <w:r>
        <w:rPr>
          <w:rFonts w:ascii="Times New Roman" w:hAnsi="Times New Roman"/>
          <w:sz w:val="20"/>
          <w:szCs w:val="20"/>
        </w:rPr>
        <w:t>.</w:t>
      </w:r>
    </w:p>
    <w:p>
      <w:pPr>
        <w:snapToGrid w:val="0"/>
        <w:spacing w:before="180" w:beforeLines="50" w:after="10" w:line="240" w:lineRule="auto"/>
        <w:jc w:val="both"/>
        <w:rPr>
          <w:rFonts w:ascii="Times New Roman" w:hAnsi="Times New Roman"/>
          <w:sz w:val="20"/>
          <w:szCs w:val="20"/>
        </w:rPr>
      </w:pPr>
      <w:r>
        <w:rPr>
          <w:rFonts w:hint="eastAsia" w:ascii="Times New Roman" w:hAnsi="Times New Roman"/>
          <w:sz w:val="20"/>
          <w:szCs w:val="20"/>
        </w:rPr>
        <w:t xml:space="preserve">If only one TCI state with </w:t>
      </w:r>
      <w:r>
        <w:rPr>
          <w:rFonts w:ascii="Times" w:hAnsi="Times" w:cs="Times"/>
          <w:sz w:val="20"/>
          <w:szCs w:val="20"/>
          <w:lang w:eastAsia="ko-KR"/>
        </w:rPr>
        <w:t>QCL-TypeD</w:t>
      </w:r>
      <w:r>
        <w:rPr>
          <w:rFonts w:hint="eastAsia" w:ascii="Times New Roman" w:hAnsi="Times New Roman"/>
          <w:sz w:val="20"/>
          <w:szCs w:val="20"/>
        </w:rPr>
        <w:t xml:space="preserve"> is activated for the CORESET having the highest priority</w:t>
      </w:r>
      <w:r>
        <w:rPr>
          <w:rFonts w:ascii="Times New Roman" w:hAnsi="Times New Roman"/>
          <w:sz w:val="20"/>
          <w:szCs w:val="20"/>
        </w:rPr>
        <w:t xml:space="preserve"> identified by Rel-15 rule</w:t>
      </w:r>
      <w:r>
        <w:rPr>
          <w:rFonts w:hint="eastAsia" w:ascii="Times New Roman" w:hAnsi="Times New Roman"/>
          <w:sz w:val="20"/>
          <w:szCs w:val="20"/>
        </w:rPr>
        <w:t xml:space="preserve">, </w:t>
      </w:r>
      <w:r>
        <w:rPr>
          <w:rFonts w:ascii="Times New Roman" w:hAnsi="Times New Roman"/>
          <w:sz w:val="20"/>
          <w:szCs w:val="20"/>
        </w:rPr>
        <w:t xml:space="preserve">a straightforward way is that </w:t>
      </w:r>
      <w:r>
        <w:rPr>
          <w:rFonts w:hint="eastAsia" w:ascii="Times New Roman" w:hAnsi="Times New Roman"/>
          <w:sz w:val="20"/>
          <w:szCs w:val="20"/>
        </w:rPr>
        <w:t xml:space="preserve">the second TCI state is </w:t>
      </w:r>
      <w:r>
        <w:rPr>
          <w:rFonts w:ascii="Times New Roman" w:hAnsi="Times New Roman"/>
          <w:sz w:val="20"/>
          <w:szCs w:val="20"/>
        </w:rPr>
        <w:t xml:space="preserve">not determined which is similar as what defined in agenda 8.1.2.1. In such case, only one </w:t>
      </w:r>
      <w:r>
        <w:rPr>
          <w:rFonts w:ascii="Times" w:hAnsi="Times" w:cs="Times"/>
          <w:sz w:val="20"/>
          <w:szCs w:val="20"/>
          <w:lang w:eastAsia="ko-KR"/>
        </w:rPr>
        <w:t>QCL-TypeD</w:t>
      </w:r>
      <w:r>
        <w:rPr>
          <w:rFonts w:ascii="Times New Roman" w:hAnsi="Times New Roman"/>
          <w:sz w:val="20"/>
          <w:szCs w:val="20"/>
        </w:rPr>
        <w:t xml:space="preserve"> is identified as Rel-15/16. The UE will monitor PDCCH in a CORESET if </w:t>
      </w:r>
      <w:r>
        <w:rPr>
          <w:rFonts w:ascii="Times" w:hAnsi="Times" w:cs="Times"/>
          <w:sz w:val="20"/>
          <w:szCs w:val="20"/>
          <w:lang w:eastAsia="ko-KR"/>
        </w:rPr>
        <w:t>QCL-TypeD</w:t>
      </w:r>
      <w:r>
        <w:rPr>
          <w:rFonts w:ascii="Times New Roman" w:hAnsi="Times New Roman"/>
          <w:sz w:val="20"/>
          <w:szCs w:val="20"/>
        </w:rPr>
        <w:t xml:space="preserve"> of the CORESET is same as the identified </w:t>
      </w:r>
      <w:r>
        <w:rPr>
          <w:rFonts w:ascii="Times" w:hAnsi="Times" w:cs="Times"/>
          <w:sz w:val="20"/>
          <w:szCs w:val="20"/>
          <w:lang w:eastAsia="ko-KR"/>
        </w:rPr>
        <w:t>QCL-TypeD</w:t>
      </w:r>
      <w:r>
        <w:rPr>
          <w:rFonts w:ascii="Times New Roman" w:hAnsi="Times New Roman"/>
          <w:sz w:val="20"/>
          <w:szCs w:val="20"/>
        </w:rPr>
        <w:t>.</w:t>
      </w:r>
    </w:p>
    <w:p>
      <w:pPr>
        <w:snapToGrid w:val="0"/>
        <w:spacing w:before="180" w:beforeLines="50" w:after="10" w:line="240" w:lineRule="auto"/>
        <w:jc w:val="both"/>
        <w:rPr>
          <w:rFonts w:ascii="Times New Roman" w:hAnsi="Times New Roman"/>
          <w:sz w:val="20"/>
          <w:szCs w:val="20"/>
        </w:rPr>
      </w:pPr>
      <w:r>
        <w:rPr>
          <w:rFonts w:hint="eastAsia" w:ascii="Times New Roman" w:hAnsi="Times New Roman"/>
          <w:sz w:val="20"/>
          <w:szCs w:val="20"/>
        </w:rPr>
        <w:t>Based on above analysis, we make the following proposal.</w:t>
      </w:r>
    </w:p>
    <w:p>
      <w:pPr>
        <w:snapToGrid w:val="0"/>
        <w:spacing w:after="0" w:line="240" w:lineRule="auto"/>
        <w:jc w:val="both"/>
        <w:rPr>
          <w:rFonts w:ascii="Times" w:hAnsi="Times" w:cs="Times"/>
          <w:i/>
          <w:iCs/>
          <w:sz w:val="20"/>
          <w:szCs w:val="20"/>
          <w:lang w:eastAsia="ko-KR"/>
        </w:rPr>
      </w:pPr>
      <w:bookmarkStart w:id="15" w:name="OLE_LINK5"/>
      <w:r>
        <w:rPr>
          <w:rFonts w:hint="eastAsia" w:ascii="Times New Roman" w:hAnsi="Times New Roman"/>
          <w:b/>
          <w:bCs/>
          <w:i/>
          <w:iCs/>
          <w:sz w:val="20"/>
          <w:szCs w:val="20"/>
        </w:rPr>
        <w:t xml:space="preserve">Proposal 9: </w:t>
      </w:r>
      <w:r>
        <w:rPr>
          <w:rFonts w:hint="eastAsia" w:ascii="Times" w:hAnsi="Times" w:cs="Times"/>
          <w:i/>
          <w:iCs/>
          <w:sz w:val="20"/>
          <w:szCs w:val="20"/>
        </w:rPr>
        <w:t>Reuse Rel-15 prioritization to identify one CORESET</w:t>
      </w:r>
    </w:p>
    <w:p>
      <w:pPr>
        <w:numPr>
          <w:ilvl w:val="0"/>
          <w:numId w:val="8"/>
        </w:numPr>
        <w:snapToGrid w:val="0"/>
        <w:spacing w:after="0" w:line="240" w:lineRule="auto"/>
        <w:ind w:left="839"/>
        <w:jc w:val="both"/>
        <w:rPr>
          <w:rFonts w:hint="eastAsia" w:ascii="Times New Roman" w:hAnsi="Times New Roman"/>
          <w:i/>
          <w:iCs/>
          <w:sz w:val="20"/>
          <w:szCs w:val="20"/>
          <w:lang w:val="en-GB"/>
        </w:rPr>
      </w:pPr>
      <w:r>
        <w:rPr>
          <w:rFonts w:hint="eastAsia" w:ascii="Times New Roman" w:hAnsi="Times New Roman"/>
          <w:i/>
          <w:iCs/>
          <w:sz w:val="20"/>
          <w:szCs w:val="20"/>
          <w:lang w:val="en-GB"/>
        </w:rPr>
        <w:t>If the CORESET has one TCI state with QCL</w:t>
      </w:r>
      <w:r>
        <w:rPr>
          <w:rFonts w:hint="eastAsia" w:ascii="Times New Roman" w:hAnsi="Times New Roman"/>
          <w:i/>
          <w:iCs/>
          <w:sz w:val="20"/>
          <w:szCs w:val="20"/>
        </w:rPr>
        <w:t>-</w:t>
      </w:r>
      <w:r>
        <w:rPr>
          <w:rFonts w:hint="eastAsia" w:ascii="Times New Roman" w:hAnsi="Times New Roman"/>
          <w:i/>
          <w:iCs/>
          <w:sz w:val="20"/>
          <w:szCs w:val="20"/>
          <w:lang w:val="en-GB"/>
        </w:rPr>
        <w:t>typeD, the second QCL</w:t>
      </w:r>
      <w:r>
        <w:rPr>
          <w:rFonts w:hint="eastAsia" w:ascii="Times New Roman" w:hAnsi="Times New Roman"/>
          <w:i/>
          <w:iCs/>
          <w:sz w:val="20"/>
          <w:szCs w:val="20"/>
        </w:rPr>
        <w:t>-</w:t>
      </w:r>
      <w:r>
        <w:rPr>
          <w:rFonts w:hint="eastAsia" w:ascii="Times New Roman" w:hAnsi="Times New Roman"/>
          <w:i/>
          <w:iCs/>
          <w:sz w:val="20"/>
          <w:szCs w:val="20"/>
          <w:lang w:val="en-GB"/>
        </w:rPr>
        <w:t>typeD is not identified</w:t>
      </w:r>
    </w:p>
    <w:p>
      <w:pPr>
        <w:numPr>
          <w:ilvl w:val="0"/>
          <w:numId w:val="8"/>
        </w:numPr>
        <w:snapToGrid w:val="0"/>
        <w:spacing w:after="0" w:line="240" w:lineRule="auto"/>
        <w:ind w:left="839"/>
        <w:jc w:val="both"/>
        <w:rPr>
          <w:rFonts w:hint="eastAsia" w:ascii="Times New Roman" w:hAnsi="Times New Roman"/>
          <w:i/>
          <w:iCs/>
          <w:sz w:val="20"/>
          <w:szCs w:val="20"/>
          <w:lang w:val="en-GB"/>
        </w:rPr>
      </w:pPr>
      <w:r>
        <w:rPr>
          <w:rFonts w:hint="eastAsia" w:ascii="Times New Roman" w:hAnsi="Times New Roman"/>
          <w:i/>
          <w:iCs/>
          <w:sz w:val="20"/>
          <w:szCs w:val="20"/>
          <w:lang w:val="en-GB"/>
        </w:rPr>
        <w:t>If the CORESET has two TCI states with QCL-typeD, both QCL-typeD are identified.</w:t>
      </w:r>
    </w:p>
    <w:p>
      <w:pPr>
        <w:pStyle w:val="3"/>
        <w:numPr>
          <w:ilvl w:val="1"/>
          <w:numId w:val="4"/>
        </w:numPr>
        <w:snapToGrid w:val="0"/>
        <w:spacing w:before="180" w:beforeLines="50" w:after="180" w:afterLines="50" w:line="240" w:lineRule="auto"/>
        <w:rPr>
          <w:rFonts w:ascii="Arial" w:hAnsi="Arial" w:cs="Arial"/>
          <w:sz w:val="24"/>
          <w:szCs w:val="24"/>
        </w:rPr>
      </w:pPr>
      <w:r>
        <w:rPr>
          <w:rFonts w:hint="eastAsia" w:ascii="Arial" w:hAnsi="Arial" w:cs="Arial"/>
          <w:sz w:val="24"/>
          <w:szCs w:val="24"/>
        </w:rPr>
        <w:t>SFN transmission of PDCCH associated with CSS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RAN1#106bis</w:t>
      </w:r>
      <w:r>
        <w:rPr>
          <w:rFonts w:ascii="Times New Roman" w:hAnsi="Times New Roman"/>
          <w:sz w:val="20"/>
          <w:szCs w:val="20"/>
        </w:rPr>
        <w:t>-</w:t>
      </w:r>
      <w:r>
        <w:rPr>
          <w:rFonts w:hint="eastAsia" w:ascii="Times New Roman" w:hAnsi="Times New Roman"/>
          <w:sz w:val="20"/>
          <w:szCs w:val="20"/>
        </w:rPr>
        <w:t>e</w:t>
      </w:r>
      <w:r>
        <w:rPr>
          <w:rFonts w:ascii="Times New Roman" w:hAnsi="Times New Roman"/>
          <w:sz w:val="20"/>
          <w:szCs w:val="20"/>
        </w:rPr>
        <w:t xml:space="preserve"> </w:t>
      </w:r>
      <w:r>
        <w:rPr>
          <w:rFonts w:hint="eastAsia" w:ascii="Times New Roman" w:hAnsi="Times New Roman"/>
          <w:sz w:val="20"/>
          <w:szCs w:val="20"/>
        </w:rPr>
        <w:t xml:space="preserve">meeting, one agreement for CSS associated with SFN CORESET as </w:t>
      </w:r>
      <w:r>
        <w:rPr>
          <w:rFonts w:ascii="Times New Roman" w:hAnsi="Times New Roman"/>
          <w:sz w:val="20"/>
          <w:szCs w:val="20"/>
        </w:rPr>
        <w:t>follows</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New Roman" w:hAnsi="Times New Roman"/>
                <w:bCs/>
                <w:iCs/>
                <w:sz w:val="20"/>
                <w:szCs w:val="20"/>
                <w:u w:val="single"/>
              </w:rPr>
            </w:pPr>
            <w:r>
              <w:rPr>
                <w:rFonts w:ascii="Times New Roman" w:hAnsi="Times New Roman"/>
                <w:bCs/>
                <w:iCs/>
                <w:sz w:val="20"/>
                <w:szCs w:val="20"/>
                <w:u w:val="single"/>
              </w:rPr>
              <w:t>Agreement</w:t>
            </w:r>
          </w:p>
          <w:p>
            <w:pPr>
              <w:snapToGrid w:val="0"/>
              <w:spacing w:after="0" w:line="240" w:lineRule="auto"/>
              <w:rPr>
                <w:rFonts w:ascii="Times New Roman" w:hAnsi="Times New Roman"/>
                <w:sz w:val="20"/>
                <w:szCs w:val="20"/>
              </w:rPr>
            </w:pPr>
            <w:r>
              <w:rPr>
                <w:rFonts w:ascii="Times New Roman" w:hAnsi="Times New Roman"/>
                <w:sz w:val="20"/>
                <w:szCs w:val="20"/>
              </w:rPr>
              <w:t>For CSS associated with SFN CORESET, study the following alternatives and down-select in RAN1#107e:</w:t>
            </w:r>
          </w:p>
          <w:p>
            <w:pPr>
              <w:pStyle w:val="111"/>
              <w:numPr>
                <w:ilvl w:val="0"/>
                <w:numId w:val="12"/>
              </w:numPr>
              <w:snapToGrid w:val="0"/>
              <w:spacing w:before="0" w:beforeAutospacing="0" w:after="0" w:afterAutospacing="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Alt 2: UE doesn’t expect PDCCH candidates in CSS to be associated with CORESET activated with two TCI states, except for CSS type 3 associated with CORESET configured with scheme 1</w:t>
            </w:r>
          </w:p>
          <w:p>
            <w:pPr>
              <w:pStyle w:val="111"/>
              <w:numPr>
                <w:ilvl w:val="0"/>
                <w:numId w:val="12"/>
              </w:numPr>
              <w:snapToGrid w:val="0"/>
              <w:spacing w:before="0" w:beforeAutospacing="0" w:after="0" w:afterAutospacing="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pPr>
              <w:pStyle w:val="112"/>
              <w:numPr>
                <w:ilvl w:val="1"/>
                <w:numId w:val="13"/>
              </w:numPr>
              <w:snapToGrid w:val="0"/>
              <w:spacing w:before="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lang w:eastAsia="zh-CN"/>
              </w:rPr>
              <w:t>For</w:t>
            </w:r>
            <w:r>
              <w:rPr>
                <w:rStyle w:val="113"/>
                <w:rFonts w:ascii="Times New Roman" w:hAnsi="Times New Roman" w:cs="Times New Roman"/>
                <w:sz w:val="20"/>
                <w:szCs w:val="20"/>
                <w:lang w:eastAsia="zh-CN"/>
              </w:rPr>
              <w:t> </w:t>
            </w:r>
            <w:r>
              <w:rPr>
                <w:rFonts w:ascii="Times New Roman" w:hAnsi="Times New Roman" w:cs="Times New Roman"/>
                <w:sz w:val="20"/>
                <w:szCs w:val="20"/>
                <w:lang w:eastAsia="zh-CN"/>
              </w:rPr>
              <w:t>CSS type 3 associated with CORESET configured with scheme 1,</w:t>
            </w:r>
            <w:r>
              <w:rPr>
                <w:rStyle w:val="113"/>
                <w:rFonts w:ascii="Times New Roman" w:hAnsi="Times New Roman" w:cs="Times New Roman"/>
                <w:sz w:val="20"/>
                <w:szCs w:val="20"/>
                <w:lang w:eastAsia="zh-CN"/>
              </w:rPr>
              <w:t> </w:t>
            </w:r>
            <w:r>
              <w:rPr>
                <w:rStyle w:val="68"/>
                <w:rFonts w:ascii="Times New Roman" w:hAnsi="Times New Roman" w:cs="Times New Roman"/>
                <w:sz w:val="20"/>
                <w:szCs w:val="20"/>
                <w:lang w:eastAsia="zh-CN"/>
              </w:rPr>
              <w:t> </w:t>
            </w:r>
            <w:r>
              <w:rPr>
                <w:rFonts w:ascii="Times New Roman" w:hAnsi="Times New Roman" w:cs="Times New Roman"/>
                <w:sz w:val="20"/>
                <w:szCs w:val="20"/>
                <w:lang w:eastAsia="zh-CN"/>
              </w:rPr>
              <w:t>both TCI states can be applied</w:t>
            </w:r>
            <w:r>
              <w:rPr>
                <w:rStyle w:val="113"/>
                <w:rFonts w:ascii="Times New Roman" w:hAnsi="Times New Roman" w:cs="Times New Roman"/>
                <w:sz w:val="20"/>
                <w:szCs w:val="20"/>
                <w:lang w:eastAsia="zh-CN"/>
              </w:rPr>
              <w:t> </w:t>
            </w:r>
            <w:r>
              <w:rPr>
                <w:rFonts w:ascii="Times New Roman" w:hAnsi="Times New Roman" w:cs="Times New Roman"/>
                <w:sz w:val="20"/>
                <w:szCs w:val="20"/>
                <w:lang w:eastAsia="zh-CN"/>
              </w:rPr>
              <w:t>for the CSS reception. </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SFN PDCCH was agreed in agenda 8.1.2.1, and it is a parallel solution with PDCCH repetition which has been agreed for CSS type 3. So we think SFN PDCCH should also be applicable for CSS type 3 in high blockage scenarios.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CSS type 0/0A/1/2 are configured for random access or paging or containing system information. O</w:t>
      </w:r>
      <w:r>
        <w:rPr>
          <w:rFonts w:ascii="Times New Roman" w:hAnsi="Times New Roman"/>
          <w:sz w:val="20"/>
          <w:szCs w:val="20"/>
        </w:rPr>
        <w:t xml:space="preserve">ne CORESET can be configured with both USS and </w:t>
      </w:r>
      <w:r>
        <w:rPr>
          <w:rFonts w:hint="eastAsia" w:ascii="Times New Roman" w:hAnsi="Times New Roman"/>
          <w:sz w:val="20"/>
          <w:szCs w:val="20"/>
        </w:rPr>
        <w:t>CSS</w:t>
      </w:r>
      <w:r>
        <w:rPr>
          <w:rFonts w:ascii="Times New Roman" w:hAnsi="Times New Roman"/>
          <w:sz w:val="20"/>
          <w:szCs w:val="20"/>
        </w:rPr>
        <w:t xml:space="preserve">, and </w:t>
      </w:r>
      <w:r>
        <w:rPr>
          <w:rFonts w:hint="eastAsia" w:ascii="Times New Roman" w:hAnsi="Times New Roman"/>
          <w:sz w:val="20"/>
          <w:szCs w:val="20"/>
        </w:rPr>
        <w:t>TCI</w:t>
      </w:r>
      <w:r>
        <w:rPr>
          <w:rFonts w:ascii="Times New Roman" w:hAnsi="Times New Roman"/>
          <w:sz w:val="20"/>
          <w:szCs w:val="20"/>
        </w:rPr>
        <w:t xml:space="preserve"> is configured via CORESET basis. If it is not allowed to configure two TCI states for a CORESET associated with CSS type 0/0A/1/2, it is also not allowed to configure SFN PDCCH scheme for USS associated with that CORESET. This will compromise the benefit of the Rel-17 SFN </w:t>
      </w:r>
      <w:r>
        <w:rPr>
          <w:rFonts w:hint="eastAsia" w:ascii="Times New Roman" w:hAnsi="Times New Roman"/>
          <w:sz w:val="20"/>
          <w:szCs w:val="20"/>
        </w:rPr>
        <w:t>scheme</w:t>
      </w:r>
      <w:r>
        <w:rPr>
          <w:rFonts w:ascii="Times New Roman" w:hAnsi="Times New Roman"/>
          <w:sz w:val="20"/>
          <w:szCs w:val="20"/>
        </w:rPr>
        <w:t xml:space="preserve">.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rPr>
                <w:rFonts w:ascii="Times New Roman" w:hAnsi="Times New Roman"/>
                <w:sz w:val="20"/>
                <w:szCs w:val="20"/>
              </w:rPr>
            </w:pPr>
            <w:r>
              <w:rPr>
                <w:rFonts w:hint="default" w:ascii="Times New Roman" w:hAnsi="Times New Roman"/>
                <w:sz w:val="20"/>
                <w:szCs w:val="20"/>
              </w:rPr>
              <w:t>36.213</w:t>
            </w:r>
            <w:r>
              <w:rPr>
                <w:rFonts w:ascii="Times New Roman" w:hAnsi="Times New Roman"/>
                <w:sz w:val="20"/>
                <w:szCs w:val="20"/>
              </w:rPr>
              <w:t xml:space="preserve"> section 10.1:</w:t>
            </w:r>
          </w:p>
          <w:p>
            <w:pPr>
              <w:rPr>
                <w:rFonts w:ascii="Times New Roman" w:hAnsi="Times New Roman" w:eastAsia="宋体"/>
                <w:sz w:val="20"/>
                <w:szCs w:val="20"/>
              </w:rPr>
            </w:pPr>
            <w:r>
              <w:rPr>
                <w:rFonts w:ascii="Times New Roman" w:hAnsi="Times New Roman"/>
                <w:sz w:val="20"/>
                <w:szCs w:val="20"/>
              </w:rPr>
              <w:t xml:space="preserve">If a UE is provided a zero value for </w:t>
            </w:r>
            <w:r>
              <w:rPr>
                <w:rFonts w:ascii="Times New Roman" w:hAnsi="Times New Roman"/>
                <w:i/>
                <w:iCs/>
                <w:sz w:val="20"/>
                <w:szCs w:val="20"/>
              </w:rPr>
              <w:t>searchSpaceID</w:t>
            </w:r>
            <w:r>
              <w:rPr>
                <w:rFonts w:ascii="Times New Roman" w:hAnsi="Times New Roman"/>
                <w:sz w:val="20"/>
                <w:szCs w:val="20"/>
              </w:rPr>
              <w:t xml:space="preserve"> in </w:t>
            </w:r>
            <w:r>
              <w:rPr>
                <w:rFonts w:ascii="Times New Roman" w:hAnsi="Times New Roman"/>
                <w:i/>
                <w:iCs/>
                <w:sz w:val="20"/>
                <w:szCs w:val="20"/>
              </w:rPr>
              <w:t>PDCCH-ConfigCommon</w:t>
            </w:r>
            <w:r>
              <w:rPr>
                <w:rFonts w:ascii="Times New Roman" w:hAnsi="Times New Roman"/>
                <w:sz w:val="20"/>
                <w:szCs w:val="20"/>
              </w:rPr>
              <w:t xml:space="preserve"> for a Type0/0A/2-PDCCH CSS set,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pPr>
              <w:pStyle w:val="85"/>
              <w:ind w:left="1320" w:hanging="44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a MAC CE activation command indicating a TCI state of the active BWP that includes a CORESET with index 0, as described in [6, TS 38.214], where the TCI-state includes a CSI-RS which is quasi-co-located with the SS/PBCH block, or </w:t>
            </w:r>
          </w:p>
          <w:p>
            <w:pPr>
              <w:pStyle w:val="85"/>
              <w:ind w:left="1320" w:hanging="44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a random access procedure that is not initiated by a PDCCH order that triggers a contention-free random access procedure</w:t>
            </w:r>
          </w:p>
          <w:p>
            <w:pPr>
              <w:snapToGrid/>
              <w:spacing w:before="0" w:beforeLines="-2147483648" w:after="200" w:afterLines="-2147483648" w:line="276" w:lineRule="auto"/>
              <w:jc w:val="left"/>
              <w:rPr>
                <w:rFonts w:hint="default" w:ascii="Times New Roman" w:hAnsi="Times New Roman" w:eastAsia="宋体"/>
                <w:sz w:val="20"/>
                <w:szCs w:val="20"/>
              </w:rPr>
            </w:pPr>
            <w:r>
              <w:rPr>
                <w:rFonts w:ascii="Times New Roman" w:hAnsi="Times New Roman"/>
                <w:sz w:val="20"/>
                <w:szCs w:val="20"/>
              </w:rPr>
              <w:t xml:space="preserve">If a UE monitors PDCCH candidates for DCI formats with CRC scrambled by a C-RNTI and the UE is provided a non-zero value for </w:t>
            </w:r>
            <w:r>
              <w:rPr>
                <w:rFonts w:ascii="Times New Roman" w:hAnsi="Times New Roman"/>
                <w:i/>
                <w:iCs/>
                <w:sz w:val="20"/>
                <w:szCs w:val="20"/>
              </w:rPr>
              <w:t xml:space="preserve">searchSpaceID </w:t>
            </w:r>
            <w:r>
              <w:rPr>
                <w:rFonts w:ascii="Times New Roman" w:hAnsi="Times New Roman"/>
                <w:sz w:val="20"/>
                <w:szCs w:val="20"/>
              </w:rPr>
              <w:t xml:space="preserve">in </w:t>
            </w:r>
            <w:r>
              <w:rPr>
                <w:rFonts w:ascii="Times New Roman" w:hAnsi="Times New Roman"/>
                <w:i/>
                <w:iCs/>
                <w:sz w:val="20"/>
                <w:szCs w:val="20"/>
              </w:rPr>
              <w:t>PDCCH-ConfigCommon</w:t>
            </w:r>
            <w:r>
              <w:rPr>
                <w:rFonts w:ascii="Times New Roman" w:hAnsi="Times New Roman"/>
                <w:sz w:val="20"/>
                <w:szCs w:val="20"/>
              </w:rPr>
              <w:t xml:space="preserve"> for a Type0/0A/2-PDCCH CSS set, the UE determines monitoring occasions for PDCCH candidates of the Type0/0A/2-PDCCH CSS set based on the search space set associated with the value of </w:t>
            </w:r>
            <w:r>
              <w:rPr>
                <w:rFonts w:ascii="Times New Roman" w:hAnsi="Times New Roman"/>
                <w:i/>
                <w:iCs/>
                <w:sz w:val="20"/>
                <w:szCs w:val="20"/>
              </w:rPr>
              <w:t>searchSpaceID</w:t>
            </w:r>
            <w:r>
              <w:rPr>
                <w:rFonts w:ascii="Times New Roman" w:hAnsi="Times New Roman"/>
                <w:sz w:val="20"/>
                <w:szCs w:val="20"/>
              </w:rPr>
              <w:t>.</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addition, </w:t>
      </w:r>
      <w:r>
        <w:rPr>
          <w:rFonts w:ascii="Times New Roman" w:hAnsi="Times New Roman"/>
          <w:sz w:val="20"/>
          <w:szCs w:val="20"/>
        </w:rPr>
        <w:t xml:space="preserve">based on the current specification as shown in above box, </w:t>
      </w:r>
      <w:r>
        <w:rPr>
          <w:rFonts w:hint="eastAsia" w:ascii="Times New Roman" w:hAnsi="Times New Roman"/>
          <w:sz w:val="20"/>
          <w:szCs w:val="20"/>
        </w:rPr>
        <w:t>if CSS type 0/0A/2 is configured with search space index 0</w:t>
      </w:r>
      <w:r>
        <w:rPr>
          <w:rFonts w:ascii="Times New Roman" w:hAnsi="Times New Roman"/>
          <w:sz w:val="20"/>
          <w:szCs w:val="20"/>
        </w:rPr>
        <w:t xml:space="preserve"> which</w:t>
      </w:r>
      <w:r>
        <w:rPr>
          <w:rFonts w:hint="eastAsia" w:ascii="Times New Roman" w:hAnsi="Times New Roman"/>
          <w:sz w:val="20"/>
          <w:szCs w:val="20"/>
        </w:rPr>
        <w:t xml:space="preserve"> is associated with CORESET 0</w:t>
      </w:r>
      <w:r>
        <w:rPr>
          <w:rFonts w:ascii="Times New Roman" w:hAnsi="Times New Roman"/>
          <w:sz w:val="20"/>
          <w:szCs w:val="20"/>
        </w:rPr>
        <w:t>, the</w:t>
      </w:r>
      <w:r>
        <w:rPr>
          <w:rFonts w:hint="eastAsia" w:ascii="Times New Roman" w:hAnsi="Times New Roman"/>
          <w:sz w:val="20"/>
          <w:szCs w:val="20"/>
        </w:rPr>
        <w:t xml:space="preserve"> monitoring occasion should be determined by </w:t>
      </w:r>
      <w:r>
        <w:rPr>
          <w:rFonts w:ascii="Times New Roman" w:hAnsi="Times New Roman"/>
          <w:sz w:val="20"/>
          <w:szCs w:val="20"/>
        </w:rPr>
        <w:t xml:space="preserve">the SSB associated with the indicated TCI state. In Rel-17, if two TCI states are indicated for CORESET 0, we think the monitor occasions of CSS type 0/0A/2 can be determined by </w:t>
      </w:r>
      <w:r>
        <w:rPr>
          <w:rFonts w:hint="eastAsia" w:ascii="Times New Roman" w:hAnsi="Times New Roman"/>
          <w:sz w:val="20"/>
          <w:szCs w:val="20"/>
        </w:rPr>
        <w:t>two SSB indexes corresponding to the two</w:t>
      </w:r>
      <w:r>
        <w:rPr>
          <w:rFonts w:ascii="Times New Roman" w:hAnsi="Times New Roman"/>
          <w:sz w:val="20"/>
          <w:szCs w:val="20"/>
        </w:rPr>
        <w:t xml:space="preserve"> indicated</w:t>
      </w:r>
      <w:r>
        <w:rPr>
          <w:rFonts w:hint="eastAsia" w:ascii="Times New Roman" w:hAnsi="Times New Roman"/>
          <w:sz w:val="20"/>
          <w:szCs w:val="20"/>
        </w:rPr>
        <w:t xml:space="preserve"> TCI states of CORESET0 to improve the robustness of CSS type 0/0A/2. </w:t>
      </w:r>
      <w:r>
        <w:rPr>
          <w:rFonts w:ascii="Times New Roman" w:hAnsi="Times New Roman"/>
          <w:sz w:val="20"/>
          <w:szCs w:val="20"/>
        </w:rPr>
        <w:t xml:space="preserve">That is, UE can monitor CSS type 0/0A/2 in two occasions corresponding to two SSB beams. </w:t>
      </w:r>
      <w:r>
        <w:rPr>
          <w:rFonts w:hint="eastAsia" w:ascii="Times New Roman" w:hAnsi="Times New Roman"/>
          <w:sz w:val="20"/>
          <w:szCs w:val="20"/>
        </w:rPr>
        <w:t>Otherwise, the robustness of USS has been enhanced by PDCCH repetition or SFN PDCCH scheme with two TCI states, but the robustness of CSS can</w:t>
      </w:r>
      <w:r>
        <w:rPr>
          <w:rFonts w:ascii="Times New Roman" w:hAnsi="Times New Roman"/>
          <w:sz w:val="20"/>
          <w:szCs w:val="20"/>
        </w:rPr>
        <w:t>’</w:t>
      </w:r>
      <w:r>
        <w:rPr>
          <w:rFonts w:hint="eastAsia" w:ascii="Times New Roman" w:hAnsi="Times New Roman"/>
          <w:sz w:val="20"/>
          <w:szCs w:val="20"/>
        </w:rPr>
        <w:t xml:space="preserve">t be </w:t>
      </w:r>
      <w:r>
        <w:rPr>
          <w:rFonts w:ascii="Times New Roman" w:hAnsi="Times New Roman"/>
          <w:sz w:val="20"/>
          <w:szCs w:val="20"/>
        </w:rPr>
        <w:t>achieved in the same level</w:t>
      </w:r>
      <w:r>
        <w:rPr>
          <w:rFonts w:hint="eastAsia" w:ascii="Times New Roman" w:hAnsi="Times New Roman"/>
          <w:sz w:val="20"/>
          <w:szCs w:val="20"/>
        </w:rPr>
        <w:t>. It is unreasonable</w:t>
      </w:r>
      <w:r>
        <w:rPr>
          <w:rFonts w:ascii="Times New Roman" w:hAnsi="Times New Roman"/>
          <w:sz w:val="20"/>
          <w:szCs w:val="20"/>
        </w:rPr>
        <w:t xml:space="preserve"> to have less reliability for CSS compared with USS.</w:t>
      </w:r>
      <w:r>
        <w:rPr>
          <w:rFonts w:hint="eastAsia" w:ascii="Times New Roman" w:hAnsi="Times New Roman"/>
          <w:sz w:val="20"/>
          <w:szCs w:val="20"/>
        </w:rPr>
        <w:t xml:space="preserve"> For USS associated with CORESET0 activated with two TCI states, SFN PDCCH scheme</w:t>
      </w:r>
      <w:r>
        <w:rPr>
          <w:rFonts w:ascii="Times New Roman" w:hAnsi="Times New Roman"/>
          <w:sz w:val="20"/>
          <w:szCs w:val="20"/>
        </w:rPr>
        <w:t xml:space="preserve"> can still be used</w:t>
      </w:r>
      <w:r>
        <w:rPr>
          <w:rFonts w:hint="eastAsia" w:ascii="Times New Roman" w:hAnsi="Times New Roman"/>
          <w:sz w:val="20"/>
          <w:szCs w:val="20"/>
        </w:rPr>
        <w:t>.</w:t>
      </w:r>
      <w:r>
        <w:rPr>
          <w:rFonts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If </w:t>
      </w:r>
      <w:r>
        <w:rPr>
          <w:rFonts w:hint="eastAsia" w:ascii="Times New Roman" w:hAnsi="Times New Roman"/>
          <w:sz w:val="20"/>
          <w:szCs w:val="20"/>
        </w:rPr>
        <w:t xml:space="preserve">CSS type 0/0A/2 is </w:t>
      </w:r>
      <w:r>
        <w:rPr>
          <w:rFonts w:ascii="Times New Roman" w:hAnsi="Times New Roman"/>
          <w:sz w:val="20"/>
          <w:szCs w:val="20"/>
        </w:rPr>
        <w:t xml:space="preserve">not </w:t>
      </w:r>
      <w:r>
        <w:rPr>
          <w:rFonts w:hint="eastAsia" w:ascii="Times New Roman" w:hAnsi="Times New Roman"/>
          <w:sz w:val="20"/>
          <w:szCs w:val="20"/>
        </w:rPr>
        <w:t>configured with search space index 0</w:t>
      </w:r>
      <w:r>
        <w:rPr>
          <w:rFonts w:ascii="Times New Roman" w:hAnsi="Times New Roman"/>
          <w:sz w:val="20"/>
          <w:szCs w:val="20"/>
        </w:rPr>
        <w:t xml:space="preserve">, it means UE is in RRC_CONNECTED state. Then, SFN PDCCH can work well similarly as USS. It is unnecessary to preclude SFN scheme in such case.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CSS type 1, we think the first TCI state can be applied as it may determine the beam of PRACH which can only be single beam transmission at UE transmit side.  </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Hence, we support Alt 3 with modification. </w:t>
      </w:r>
    </w:p>
    <w:p>
      <w:pPr>
        <w:pStyle w:val="111"/>
        <w:tabs>
          <w:tab w:val="left" w:pos="720"/>
        </w:tabs>
        <w:snapToGrid w:val="0"/>
        <w:spacing w:before="180" w:beforeLines="50" w:beforeAutospacing="0" w:after="0" w:afterAutospacing="0" w:line="240" w:lineRule="auto"/>
        <w:rPr>
          <w:rFonts w:ascii="Times New Roman" w:hAnsi="Times New Roman" w:cs="Times New Roman"/>
          <w:i/>
          <w:iCs/>
          <w:sz w:val="20"/>
          <w:szCs w:val="20"/>
          <w:lang w:eastAsia="zh-CN"/>
        </w:rPr>
      </w:pPr>
      <w:r>
        <w:rPr>
          <w:rFonts w:ascii="Times New Roman" w:hAnsi="Times New Roman" w:cs="Times New Roman"/>
          <w:b/>
          <w:bCs/>
          <w:i/>
          <w:iCs/>
          <w:sz w:val="20"/>
          <w:szCs w:val="20"/>
        </w:rPr>
        <w:t xml:space="preserve">Proposal 10: </w:t>
      </w:r>
      <w:r>
        <w:rPr>
          <w:rFonts w:ascii="Times New Roman" w:hAnsi="Times New Roman" w:eastAsia="宋体" w:cs="Times New Roman"/>
          <w:bCs/>
          <w:i/>
          <w:sz w:val="20"/>
          <w:szCs w:val="20"/>
        </w:rPr>
        <w:t xml:space="preserve">Support </w:t>
      </w:r>
      <w:r>
        <w:rPr>
          <w:rFonts w:ascii="Times New Roman" w:hAnsi="Times New Roman" w:eastAsia="宋体" w:cs="Times New Roman"/>
          <w:bCs/>
          <w:i/>
          <w:sz w:val="20"/>
          <w:szCs w:val="20"/>
        </w:rPr>
        <w:t>Alt 3</w:t>
      </w:r>
      <w:r>
        <w:rPr>
          <w:rFonts w:ascii="Times New Roman" w:hAnsi="Times New Roman" w:eastAsia="宋体" w:cs="Times New Roman"/>
          <w:bCs/>
          <w:i/>
          <w:sz w:val="20"/>
          <w:szCs w:val="20"/>
        </w:rPr>
        <w:t xml:space="preserve"> with modification</w:t>
      </w:r>
      <w:r>
        <w:rPr>
          <w:rFonts w:ascii="Times New Roman" w:hAnsi="Times New Roman" w:eastAsia="宋体" w:cs="Times New Roman"/>
          <w:bCs/>
          <w:i/>
          <w:sz w:val="20"/>
          <w:szCs w:val="20"/>
        </w:rPr>
        <w:t xml:space="preserve">, i.e. </w:t>
      </w:r>
      <w:r>
        <w:rPr>
          <w:rFonts w:ascii="Times New Roman" w:hAnsi="Times New Roman" w:cs="Times New Roman"/>
          <w:i/>
          <w:iCs/>
          <w:sz w:val="20"/>
          <w:szCs w:val="20"/>
          <w:lang w:eastAsia="zh-CN"/>
        </w:rPr>
        <w:t>if PDCCH candidates in CSS 0/0A/1/2/3 are associated with CORESET that activated with two TCI states,</w:t>
      </w:r>
    </w:p>
    <w:p>
      <w:pPr>
        <w:numPr>
          <w:ilvl w:val="0"/>
          <w:numId w:val="8"/>
        </w:numPr>
        <w:snapToGrid w:val="0"/>
        <w:spacing w:after="0" w:line="240" w:lineRule="auto"/>
        <w:ind w:left="839"/>
        <w:jc w:val="both"/>
        <w:rPr>
          <w:rFonts w:hint="eastAsia" w:ascii="Times New Roman" w:hAnsi="Times New Roman"/>
          <w:i/>
          <w:iCs/>
          <w:sz w:val="20"/>
          <w:szCs w:val="20"/>
          <w:lang w:val="en-GB" w:eastAsia="zh-CN"/>
        </w:rPr>
      </w:pPr>
      <w:r>
        <w:rPr>
          <w:rFonts w:hint="default" w:ascii="Times New Roman" w:hAnsi="Times New Roman"/>
          <w:i/>
          <w:iCs/>
          <w:sz w:val="20"/>
          <w:szCs w:val="20"/>
          <w:lang w:val="en-GB" w:eastAsia="zh-CN"/>
        </w:rPr>
        <w:t xml:space="preserve">For </w:t>
      </w:r>
      <w:r>
        <w:rPr>
          <w:rFonts w:hint="eastAsia" w:ascii="Times New Roman" w:hAnsi="Times New Roman"/>
          <w:i/>
          <w:iCs/>
          <w:sz w:val="20"/>
          <w:szCs w:val="20"/>
          <w:lang w:val="en-GB" w:eastAsia="zh-CN"/>
        </w:rPr>
        <w:t xml:space="preserve">CSS </w:t>
      </w:r>
      <w:r>
        <w:rPr>
          <w:rFonts w:hint="default" w:ascii="Times New Roman" w:hAnsi="Times New Roman"/>
          <w:i/>
          <w:iCs/>
          <w:sz w:val="20"/>
          <w:szCs w:val="20"/>
          <w:lang w:val="en-GB" w:eastAsia="zh-CN"/>
        </w:rPr>
        <w:t xml:space="preserve">type </w:t>
      </w:r>
      <w:r>
        <w:rPr>
          <w:rFonts w:hint="eastAsia" w:ascii="Times New Roman" w:hAnsi="Times New Roman"/>
          <w:i/>
          <w:iCs/>
          <w:sz w:val="20"/>
          <w:szCs w:val="20"/>
          <w:lang w:val="en-GB" w:eastAsia="zh-CN"/>
        </w:rPr>
        <w:t>0/0A/2</w:t>
      </w:r>
      <w:r>
        <w:rPr>
          <w:rFonts w:hint="default" w:ascii="Times New Roman" w:hAnsi="Times New Roman"/>
          <w:i/>
          <w:iCs/>
          <w:sz w:val="20"/>
          <w:szCs w:val="20"/>
          <w:lang w:val="en-GB" w:eastAsia="zh-CN"/>
        </w:rPr>
        <w:t xml:space="preserve"> configured with search space index 0, the monitoring occasion</w:t>
      </w:r>
      <w:r>
        <w:rPr>
          <w:rFonts w:hint="eastAsia" w:ascii="Times New Roman" w:hAnsi="Times New Roman"/>
          <w:i/>
          <w:iCs/>
          <w:sz w:val="20"/>
          <w:szCs w:val="20"/>
          <w:lang w:val="en-GB" w:eastAsia="zh-CN"/>
        </w:rPr>
        <w:t xml:space="preserve">s </w:t>
      </w:r>
      <w:r>
        <w:rPr>
          <w:rFonts w:hint="default" w:ascii="Times New Roman" w:hAnsi="Times New Roman"/>
          <w:i/>
          <w:iCs/>
          <w:sz w:val="20"/>
          <w:szCs w:val="20"/>
          <w:lang w:val="en-GB" w:eastAsia="zh-CN"/>
        </w:rPr>
        <w:t xml:space="preserve">are determined by two SSB indexes </w:t>
      </w:r>
      <w:r>
        <w:rPr>
          <w:rFonts w:hint="eastAsia" w:ascii="Times New Roman" w:hAnsi="Times New Roman"/>
          <w:i/>
          <w:iCs/>
          <w:sz w:val="20"/>
          <w:szCs w:val="20"/>
          <w:lang w:val="en-GB" w:eastAsia="zh-CN"/>
        </w:rPr>
        <w:t>associated with</w:t>
      </w:r>
      <w:r>
        <w:rPr>
          <w:rFonts w:hint="default" w:ascii="Times New Roman" w:hAnsi="Times New Roman"/>
          <w:i/>
          <w:iCs/>
          <w:sz w:val="20"/>
          <w:szCs w:val="20"/>
          <w:lang w:val="en-GB" w:eastAsia="zh-CN"/>
        </w:rPr>
        <w:t xml:space="preserve"> the two activated TCI states of </w:t>
      </w:r>
      <w:r>
        <w:rPr>
          <w:rFonts w:hint="eastAsia" w:ascii="Times New Roman" w:hAnsi="Times New Roman"/>
          <w:i/>
          <w:iCs/>
          <w:sz w:val="20"/>
          <w:szCs w:val="20"/>
          <w:lang w:val="en-GB" w:eastAsia="zh-CN"/>
        </w:rPr>
        <w:t xml:space="preserve">the </w:t>
      </w:r>
      <w:r>
        <w:rPr>
          <w:rFonts w:hint="default" w:ascii="Times New Roman" w:hAnsi="Times New Roman"/>
          <w:i/>
          <w:iCs/>
          <w:sz w:val="20"/>
          <w:szCs w:val="20"/>
          <w:lang w:val="en-GB" w:eastAsia="zh-CN"/>
        </w:rPr>
        <w:t>CORESET 0.</w:t>
      </w:r>
    </w:p>
    <w:p>
      <w:pPr>
        <w:numPr>
          <w:ilvl w:val="0"/>
          <w:numId w:val="8"/>
        </w:numPr>
        <w:snapToGrid w:val="0"/>
        <w:spacing w:after="0" w:line="240" w:lineRule="auto"/>
        <w:ind w:left="839"/>
        <w:jc w:val="both"/>
        <w:rPr>
          <w:rFonts w:hint="default" w:ascii="Times New Roman" w:hAnsi="Times New Roman"/>
          <w:i/>
          <w:iCs/>
          <w:sz w:val="20"/>
          <w:szCs w:val="20"/>
          <w:lang w:val="en-GB" w:eastAsia="zh-CN"/>
        </w:rPr>
      </w:pPr>
      <w:r>
        <w:rPr>
          <w:rFonts w:hint="default" w:ascii="Times New Roman" w:hAnsi="Times New Roman"/>
          <w:i/>
          <w:iCs/>
          <w:sz w:val="20"/>
          <w:szCs w:val="20"/>
          <w:lang w:val="en-GB" w:eastAsia="zh-CN"/>
        </w:rPr>
        <w:t>For CSS type 1, the first TCI state is applied</w:t>
      </w:r>
    </w:p>
    <w:p>
      <w:pPr>
        <w:numPr>
          <w:ilvl w:val="0"/>
          <w:numId w:val="8"/>
        </w:numPr>
        <w:snapToGrid w:val="0"/>
        <w:spacing w:after="0" w:line="240" w:lineRule="auto"/>
        <w:ind w:left="839"/>
        <w:jc w:val="both"/>
        <w:rPr>
          <w:rFonts w:hint="default" w:ascii="Times New Roman" w:hAnsi="Times New Roman"/>
          <w:i/>
          <w:iCs/>
          <w:sz w:val="20"/>
          <w:szCs w:val="20"/>
          <w:lang w:val="en-GB" w:eastAsia="zh-CN"/>
        </w:rPr>
      </w:pPr>
      <w:r>
        <w:rPr>
          <w:rFonts w:hint="default" w:ascii="Times New Roman" w:hAnsi="Times New Roman"/>
          <w:i/>
          <w:iCs/>
          <w:sz w:val="20"/>
          <w:szCs w:val="20"/>
          <w:lang w:val="en-GB" w:eastAsia="zh-CN"/>
        </w:rPr>
        <w:t>Otherwise, both TCI states can be applied for the CSS reception, i.e. SFN manner</w:t>
      </w:r>
    </w:p>
    <w:p>
      <w:pPr>
        <w:pStyle w:val="3"/>
        <w:numPr>
          <w:ilvl w:val="1"/>
          <w:numId w:val="4"/>
        </w:numPr>
        <w:snapToGrid w:val="0"/>
        <w:spacing w:before="180" w:beforeLines="50" w:after="180" w:afterLines="50" w:line="240" w:lineRule="auto"/>
        <w:rPr>
          <w:rFonts w:ascii="Arial" w:hAnsi="Arial" w:cs="Arial"/>
          <w:sz w:val="24"/>
          <w:szCs w:val="24"/>
        </w:rPr>
      </w:pPr>
      <w:r>
        <w:rPr>
          <w:rFonts w:hint="eastAsia" w:ascii="Arial" w:hAnsi="Arial" w:cs="Arial"/>
          <w:sz w:val="24"/>
          <w:szCs w:val="24"/>
        </w:rPr>
        <w:t>SRS enhancements</w:t>
      </w:r>
      <w:r>
        <w:rPr>
          <w:rFonts w:ascii="Arial" w:hAnsi="Arial" w:cs="Arial"/>
          <w:sz w:val="24"/>
          <w:szCs w:val="24"/>
        </w:rPr>
        <w:t xml:space="preserve"> for network based SFN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RAN1#106bis e-meeting, great progress has been made for network based pre-compensation</w:t>
      </w:r>
      <w:r>
        <w:rPr>
          <w:rFonts w:ascii="Times New Roman" w:hAnsi="Times New Roman"/>
          <w:sz w:val="20"/>
          <w:szCs w:val="20"/>
        </w:rPr>
        <w:t xml:space="preserve"> as shown in the following agreements</w:t>
      </w:r>
      <w:r>
        <w:rPr>
          <w:rFonts w:hint="eastAsia" w:ascii="Times New Roman" w:hAnsi="Times New Roman"/>
          <w:sz w:val="20"/>
          <w:szCs w:val="20"/>
        </w:rPr>
        <w:t xml:space="preserve">. </w:t>
      </w:r>
      <w:r>
        <w:rPr>
          <w:rFonts w:ascii="Times New Roman" w:hAnsi="Times New Roman"/>
          <w:sz w:val="20"/>
          <w:szCs w:val="20"/>
        </w:rPr>
        <w:t xml:space="preserve">In this scheme, gNB has to know the frequency offsets between TRPs before implementing frequency pre-compensation.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New Roman" w:hAnsi="Times New Roman"/>
                <w:bCs/>
                <w:iCs/>
                <w:sz w:val="20"/>
                <w:szCs w:val="20"/>
                <w:u w:val="single"/>
              </w:rPr>
            </w:pPr>
            <w:r>
              <w:rPr>
                <w:rFonts w:ascii="Times New Roman" w:hAnsi="Times New Roman"/>
                <w:bCs/>
                <w:iCs/>
                <w:sz w:val="20"/>
                <w:szCs w:val="20"/>
                <w:u w:val="single"/>
              </w:rPr>
              <w:t>Agreement:</w:t>
            </w:r>
          </w:p>
          <w:p>
            <w:pPr>
              <w:pStyle w:val="99"/>
              <w:snapToGrid w:val="0"/>
              <w:spacing w:after="0" w:line="240" w:lineRule="auto"/>
              <w:ind w:firstLine="0" w:firstLineChars="0"/>
              <w:contextualSpacing/>
              <w:rPr>
                <w:rFonts w:ascii="Times New Roman" w:hAnsi="Times New Roman" w:eastAsia="Malgun Gothic"/>
                <w:iCs/>
                <w:sz w:val="20"/>
                <w:szCs w:val="20"/>
              </w:rPr>
            </w:pPr>
            <w:r>
              <w:rPr>
                <w:rFonts w:ascii="Times New Roman" w:hAnsi="Times New Roman" w:eastAsia="Malgun Gothic"/>
                <w:iCs/>
                <w:sz w:val="20"/>
                <w:szCs w:val="20"/>
              </w:rPr>
              <w:t xml:space="preserve">For Rel-17 TRP-based pre-compensation scheme, indication of carrier frequency for uplink transmission (Doppler frequency reporting) in TRP-based pre-compensation scheme is supported using </w:t>
            </w:r>
          </w:p>
          <w:p>
            <w:pPr>
              <w:numPr>
                <w:ilvl w:val="0"/>
                <w:numId w:val="14"/>
              </w:numPr>
              <w:snapToGrid w:val="0"/>
              <w:spacing w:after="0" w:line="240" w:lineRule="auto"/>
              <w:ind w:hanging="363"/>
              <w:rPr>
                <w:rFonts w:ascii="Times New Roman" w:hAnsi="Times New Roman"/>
                <w:iCs/>
                <w:sz w:val="20"/>
                <w:szCs w:val="20"/>
              </w:rPr>
            </w:pPr>
            <w:r>
              <w:rPr>
                <w:rFonts w:ascii="Times New Roman" w:hAnsi="Times New Roman"/>
                <w:iCs/>
                <w:sz w:val="20"/>
                <w:szCs w:val="20"/>
              </w:rPr>
              <w:t>Option 1 Implicit from RAN1#102-e agreement</w:t>
            </w:r>
          </w:p>
          <w:p>
            <w:pPr>
              <w:pStyle w:val="103"/>
              <w:numPr>
                <w:ilvl w:val="1"/>
                <w:numId w:val="6"/>
              </w:numPr>
              <w:snapToGrid w:val="0"/>
              <w:spacing w:before="0" w:beforeAutospacing="0" w:after="0" w:afterAutospacing="0" w:line="240" w:lineRule="auto"/>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FFS enhancements to SRS (e.g multiple SRS resource in a set) to improve the accuracy of frequency estimation</w:t>
            </w:r>
          </w:p>
          <w:p>
            <w:pPr>
              <w:pStyle w:val="99"/>
              <w:snapToGrid w:val="0"/>
              <w:spacing w:after="0" w:line="240" w:lineRule="auto"/>
              <w:ind w:firstLine="0" w:firstLineChars="0"/>
              <w:contextualSpacing/>
              <w:rPr>
                <w:rFonts w:ascii="Times New Roman" w:hAnsi="Times New Roman" w:eastAsia="Malgun Gothic"/>
                <w:iCs/>
                <w:sz w:val="20"/>
                <w:szCs w:val="20"/>
              </w:rPr>
            </w:pPr>
            <w:r>
              <w:rPr>
                <w:rFonts w:ascii="Times New Roman" w:hAnsi="Times New Roman" w:eastAsia="Malgun Gothic"/>
                <w:iCs/>
                <w:sz w:val="20"/>
                <w:szCs w:val="20"/>
              </w:rPr>
              <w:t>For Option1, some companies raised concerns that there is no consensus on the benefit and the applicability of this scheme in FDD.</w:t>
            </w:r>
          </w:p>
          <w:p>
            <w:pPr>
              <w:pStyle w:val="98"/>
              <w:snapToGrid w:val="0"/>
              <w:spacing w:after="0" w:line="240" w:lineRule="auto"/>
              <w:jc w:val="both"/>
            </w:pPr>
            <w:r>
              <w:rPr>
                <w:rFonts w:ascii="Times New Roman" w:hAnsi="Times New Roman" w:eastAsia="Malgun Gothic"/>
                <w:iCs/>
                <w:sz w:val="20"/>
                <w:szCs w:val="20"/>
              </w:rPr>
              <w:t>For Option1, some companies raised concerns that there is no benefit in low SNR scenarios.</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That is</w:t>
      </w:r>
      <w:r>
        <w:rPr>
          <w:rFonts w:hint="eastAsia" w:ascii="Times New Roman" w:hAnsi="Times New Roman"/>
          <w:sz w:val="20"/>
          <w:szCs w:val="20"/>
        </w:rPr>
        <w:t xml:space="preserve">, TRPs </w:t>
      </w:r>
      <w:r>
        <w:rPr>
          <w:rFonts w:ascii="Times New Roman" w:hAnsi="Times New Roman"/>
          <w:sz w:val="20"/>
          <w:szCs w:val="20"/>
        </w:rPr>
        <w:t xml:space="preserve">can </w:t>
      </w:r>
      <w:r>
        <w:rPr>
          <w:rFonts w:hint="eastAsia" w:ascii="Times New Roman" w:hAnsi="Times New Roman"/>
          <w:sz w:val="20"/>
          <w:szCs w:val="20"/>
        </w:rPr>
        <w:t>estimate the frequency offset based on SRS</w:t>
      </w:r>
      <w:r>
        <w:rPr>
          <w:rFonts w:ascii="Times New Roman" w:hAnsi="Times New Roman"/>
          <w:sz w:val="20"/>
          <w:szCs w:val="20"/>
        </w:rPr>
        <w:t xml:space="preserve"> and some other signals, e.g. PUSCH DMRS</w:t>
      </w:r>
      <w:r>
        <w:rPr>
          <w:rFonts w:hint="eastAsia" w:ascii="Times New Roman" w:hAnsi="Times New Roman"/>
          <w:sz w:val="20"/>
          <w:szCs w:val="20"/>
        </w:rPr>
        <w:t xml:space="preserve"> in uplink. </w:t>
      </w:r>
      <w:r>
        <w:rPr>
          <w:rFonts w:ascii="Times New Roman" w:hAnsi="Times New Roman"/>
          <w:sz w:val="20"/>
          <w:szCs w:val="20"/>
        </w:rPr>
        <w:t>Some concerns were raised on estimation accuracy based on SRS because of lower power and small gap among SRS repetition symbols.</w:t>
      </w:r>
      <w:r>
        <w:rPr>
          <w:rFonts w:hint="eastAsia" w:ascii="Times New Roman" w:hAnsi="Times New Roman"/>
          <w:sz w:val="20"/>
          <w:szCs w:val="20"/>
        </w:rPr>
        <w:t xml:space="preserve"> </w:t>
      </w:r>
      <w:r>
        <w:rPr>
          <w:rFonts w:ascii="Times New Roman" w:hAnsi="Times New Roman"/>
          <w:sz w:val="20"/>
          <w:szCs w:val="20"/>
        </w:rPr>
        <w:t>Fortunately, i</w:t>
      </w:r>
      <w:r>
        <w:rPr>
          <w:rFonts w:hint="eastAsia" w:ascii="Times New Roman" w:hAnsi="Times New Roman"/>
          <w:sz w:val="20"/>
          <w:szCs w:val="20"/>
        </w:rPr>
        <w:t xml:space="preserve">n Rel-17, enhancements for SRS </w:t>
      </w:r>
      <w:r>
        <w:rPr>
          <w:rFonts w:ascii="Times New Roman" w:hAnsi="Times New Roman"/>
          <w:sz w:val="20"/>
          <w:szCs w:val="20"/>
        </w:rPr>
        <w:t>has been</w:t>
      </w:r>
      <w:r>
        <w:rPr>
          <w:rFonts w:hint="eastAsia" w:ascii="Times New Roman" w:hAnsi="Times New Roman"/>
          <w:sz w:val="20"/>
          <w:szCs w:val="20"/>
        </w:rPr>
        <w:t xml:space="preserve"> discussed in Agenda 8.1.3,</w:t>
      </w:r>
      <w:r>
        <w:rPr>
          <w:rFonts w:ascii="Times New Roman" w:hAnsi="Times New Roman"/>
          <w:sz w:val="20"/>
          <w:szCs w:val="20"/>
        </w:rPr>
        <w:t xml:space="preserve"> as shown in the following agreements,</w:t>
      </w:r>
      <w:r>
        <w:rPr>
          <w:rFonts w:hint="eastAsia" w:ascii="Times New Roman" w:hAnsi="Times New Roman"/>
          <w:sz w:val="20"/>
          <w:szCs w:val="20"/>
        </w:rPr>
        <w:t xml:space="preserve"> </w:t>
      </w:r>
      <w:r>
        <w:rPr>
          <w:rFonts w:ascii="Times New Roman" w:hAnsi="Times New Roman"/>
          <w:sz w:val="20"/>
          <w:szCs w:val="20"/>
        </w:rPr>
        <w:t xml:space="preserve">the enhanced SRS </w:t>
      </w:r>
      <w:r>
        <w:rPr>
          <w:rFonts w:hint="eastAsia" w:ascii="Times New Roman" w:hAnsi="Times New Roman"/>
          <w:sz w:val="20"/>
          <w:szCs w:val="20"/>
        </w:rPr>
        <w:t>with</w:t>
      </w:r>
      <w:r>
        <w:rPr>
          <w:rFonts w:ascii="Times New Roman" w:hAnsi="Times New Roman"/>
          <w:sz w:val="20"/>
          <w:szCs w:val="20"/>
        </w:rPr>
        <w:t xml:space="preserve"> up to 14 repetition symbols in one resource is very beneficial to address the concerns, considering larger repetition factor can help </w:t>
      </w:r>
      <w:r>
        <w:rPr>
          <w:rFonts w:hint="eastAsia" w:ascii="Times New Roman" w:hAnsi="Times New Roman"/>
          <w:sz w:val="20"/>
          <w:szCs w:val="20"/>
        </w:rPr>
        <w:t>gNB</w:t>
      </w:r>
      <w:r>
        <w:rPr>
          <w:rFonts w:ascii="Times New Roman" w:hAnsi="Times New Roman"/>
          <w:sz w:val="20"/>
          <w:szCs w:val="20"/>
        </w:rPr>
        <w:t xml:space="preserve"> to estimate more accurate frequency offset because of larger gap between the first and the last symbol in one SRS resource. Further, comb size 8 or partial frequency sounding is also helpful to perform power boosting.</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Hence</w:t>
      </w:r>
      <w:r>
        <w:rPr>
          <w:rFonts w:hint="eastAsia" w:ascii="Times New Roman" w:hAnsi="Times New Roman"/>
          <w:sz w:val="20"/>
          <w:szCs w:val="20"/>
        </w:rPr>
        <w:t xml:space="preserve"> we think there is no need to make</w:t>
      </w:r>
      <w:r>
        <w:rPr>
          <w:rFonts w:ascii="Times New Roman" w:hAnsi="Times New Roman"/>
          <w:sz w:val="20"/>
          <w:szCs w:val="20"/>
        </w:rPr>
        <w:t xml:space="preserve"> additional</w:t>
      </w:r>
      <w:r>
        <w:rPr>
          <w:rFonts w:hint="eastAsia" w:ascii="Times New Roman" w:hAnsi="Times New Roman"/>
          <w:sz w:val="20"/>
          <w:szCs w:val="20"/>
        </w:rPr>
        <w:t xml:space="preserve"> enhancements for SRS in the SFN scenario.</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255"/>
                <w:numId w:val="0"/>
              </w:numPr>
              <w:snapToGrid w:val="0"/>
              <w:spacing w:after="0" w:line="240" w:lineRule="auto"/>
              <w:jc w:val="both"/>
              <w:rPr>
                <w:rFonts w:ascii="Times" w:hAnsi="Times" w:eastAsia="Batang" w:cs="Times"/>
                <w:bCs/>
                <w:sz w:val="20"/>
                <w:szCs w:val="20"/>
                <w:u w:val="single"/>
              </w:rPr>
            </w:pPr>
            <w:r>
              <w:rPr>
                <w:rFonts w:ascii="Times" w:hAnsi="Times" w:eastAsia="Batang" w:cs="Times"/>
                <w:bCs/>
                <w:sz w:val="20"/>
                <w:szCs w:val="20"/>
                <w:u w:val="single"/>
              </w:rPr>
              <w:t>Agreement for SRS</w:t>
            </w:r>
          </w:p>
          <w:p>
            <w:pPr>
              <w:widowControl w:val="0"/>
              <w:numPr>
                <w:ilvl w:val="255"/>
                <w:numId w:val="0"/>
              </w:numPr>
              <w:snapToGrid w:val="0"/>
              <w:spacing w:after="0" w:line="240" w:lineRule="auto"/>
              <w:jc w:val="both"/>
              <w:rPr>
                <w:rFonts w:ascii="Times" w:hAnsi="Times" w:eastAsia="Malgun Gothic" w:cs="Times"/>
                <w:sz w:val="20"/>
                <w:szCs w:val="20"/>
              </w:rPr>
            </w:pPr>
            <w:r>
              <w:rPr>
                <w:rFonts w:ascii="Times" w:hAnsi="Times" w:eastAsia="Malgun Gothic" w:cs="Times"/>
                <w:sz w:val="20"/>
                <w:szCs w:val="20"/>
              </w:rPr>
              <w:t>For SRS increased repetitions in Rel-17, support the following configurations, and no other values are supported.</w:t>
            </w:r>
          </w:p>
          <w:p>
            <w:pPr>
              <w:numPr>
                <w:ilvl w:val="0"/>
                <w:numId w:val="15"/>
              </w:numPr>
              <w:snapToGrid w:val="0"/>
              <w:spacing w:after="0" w:line="240" w:lineRule="auto"/>
              <w:ind w:left="726" w:hanging="363"/>
              <w:jc w:val="both"/>
              <w:rPr>
                <w:rFonts w:ascii="Times" w:hAnsi="Times" w:eastAsia="Batang" w:cs="Times"/>
                <w:sz w:val="20"/>
                <w:szCs w:val="20"/>
              </w:rPr>
            </w:pPr>
            <w:r>
              <w:rPr>
                <w:rFonts w:ascii="Times" w:hAnsi="Times" w:eastAsia="Batang" w:cs="Times"/>
                <w:sz w:val="20"/>
                <w:szCs w:val="20"/>
              </w:rPr>
              <w:t>(N_symbol, R) = {(8, 1), (8, 2), (8, 4), (8, 8), (12, 1), (12, 2), (12, 3), (12, 4), (12, 6), (12, 12), (10, 1), (10, 2), (10, 5), (10,10), (14, 1), (14, 2), (14, 7), (14, 14)}</w:t>
            </w:r>
          </w:p>
          <w:p>
            <w:pPr>
              <w:numPr>
                <w:ilvl w:val="0"/>
                <w:numId w:val="15"/>
              </w:numPr>
              <w:adjustRightInd w:val="0"/>
              <w:snapToGrid w:val="0"/>
              <w:spacing w:after="0"/>
              <w:ind w:left="726" w:hanging="363"/>
              <w:jc w:val="both"/>
              <w:rPr>
                <w:rFonts w:ascii="Times New Roman" w:hAnsi="Times New Roman"/>
                <w:sz w:val="20"/>
                <w:szCs w:val="20"/>
              </w:rPr>
            </w:pPr>
            <w:r>
              <w:rPr>
                <w:rFonts w:ascii="Times" w:hAnsi="Times" w:eastAsia="Batang" w:cs="Times"/>
                <w:sz w:val="20"/>
                <w:szCs w:val="20"/>
              </w:rPr>
              <w:t>Note: N_symbol SRS symbols are adjacent in a slot.</w:t>
            </w:r>
          </w:p>
        </w:tc>
      </w:tr>
    </w:tbl>
    <w:p>
      <w:pPr>
        <w:numPr>
          <w:ilvl w:val="255"/>
          <w:numId w:val="0"/>
        </w:numPr>
        <w:snapToGrid w:val="0"/>
        <w:spacing w:before="180" w:beforeLines="50" w:after="180" w:afterLines="50" w:line="240" w:lineRule="auto"/>
        <w:jc w:val="both"/>
        <w:rPr>
          <w:rFonts w:ascii="Times New Roman" w:hAnsi="Times New Roman"/>
          <w:sz w:val="20"/>
          <w:szCs w:val="20"/>
        </w:rPr>
      </w:pPr>
      <w:bookmarkStart w:id="16" w:name="OLE_LINK6"/>
      <w:r>
        <w:rPr>
          <w:rFonts w:hint="eastAsia" w:ascii="Times New Roman" w:hAnsi="Times New Roman"/>
          <w:b/>
          <w:bCs/>
          <w:i/>
          <w:iCs/>
          <w:sz w:val="20"/>
          <w:szCs w:val="20"/>
        </w:rPr>
        <w:t>Proposal 11:</w:t>
      </w:r>
      <w:r>
        <w:rPr>
          <w:rFonts w:ascii="Times New Roman" w:hAnsi="Times New Roman"/>
          <w:b/>
          <w:bCs/>
          <w:i/>
          <w:iCs/>
          <w:sz w:val="20"/>
          <w:szCs w:val="20"/>
        </w:rPr>
        <w:t xml:space="preserve"> </w:t>
      </w:r>
      <w:r>
        <w:rPr>
          <w:rFonts w:ascii="Times New Roman" w:hAnsi="Times New Roman"/>
          <w:bCs/>
          <w:i/>
          <w:iCs/>
          <w:sz w:val="20"/>
          <w:szCs w:val="20"/>
        </w:rPr>
        <w:t>For</w:t>
      </w:r>
      <w:r>
        <w:rPr>
          <w:rFonts w:hint="eastAsia" w:ascii="Times New Roman" w:hAnsi="Times New Roman"/>
          <w:bCs/>
          <w:i/>
          <w:iCs/>
          <w:sz w:val="20"/>
          <w:szCs w:val="20"/>
        </w:rPr>
        <w:t xml:space="preserve"> </w:t>
      </w:r>
      <w:r>
        <w:rPr>
          <w:rFonts w:ascii="Times New Roman" w:hAnsi="Times New Roman"/>
          <w:bCs/>
          <w:i/>
          <w:iCs/>
          <w:sz w:val="20"/>
          <w:szCs w:val="20"/>
        </w:rPr>
        <w:t>TRP</w:t>
      </w:r>
      <w:r>
        <w:rPr>
          <w:rFonts w:hint="eastAsia" w:ascii="Times New Roman" w:hAnsi="Times New Roman"/>
          <w:bCs/>
          <w:i/>
          <w:iCs/>
          <w:sz w:val="20"/>
          <w:szCs w:val="20"/>
        </w:rPr>
        <w:t>-based</w:t>
      </w:r>
      <w:r>
        <w:rPr>
          <w:rFonts w:ascii="Times New Roman" w:hAnsi="Times New Roman"/>
          <w:bCs/>
          <w:i/>
          <w:iCs/>
          <w:sz w:val="20"/>
          <w:szCs w:val="20"/>
        </w:rPr>
        <w:t xml:space="preserve"> pre-compensation</w:t>
      </w:r>
      <w:r>
        <w:rPr>
          <w:rFonts w:ascii="Times New Roman" w:hAnsi="Times New Roman"/>
          <w:i/>
          <w:iCs/>
          <w:sz w:val="20"/>
          <w:szCs w:val="20"/>
        </w:rPr>
        <w:t xml:space="preserve">, SRS </w:t>
      </w:r>
      <w:r>
        <w:rPr>
          <w:rFonts w:hint="eastAsia" w:ascii="Times New Roman" w:hAnsi="Times New Roman"/>
          <w:i/>
          <w:iCs/>
          <w:sz w:val="20"/>
          <w:szCs w:val="20"/>
        </w:rPr>
        <w:t>enhancements to improve the accuracy of frequency offset estimation is not supported.</w:t>
      </w:r>
    </w:p>
    <w:bookmarkEnd w:id="6"/>
    <w:bookmarkEnd w:id="10"/>
    <w:bookmarkEnd w:id="14"/>
    <w:bookmarkEnd w:id="15"/>
    <w:bookmarkEnd w:id="16"/>
    <w:p>
      <w:pPr>
        <w:pStyle w:val="2"/>
        <w:snapToGrid w:val="0"/>
        <w:spacing w:before="180" w:beforeLines="50" w:after="180" w:afterLines="50"/>
        <w:ind w:left="431" w:hanging="431"/>
        <w:rPr>
          <w:lang w:val="en-US"/>
        </w:rPr>
      </w:pPr>
      <w:r>
        <w:rPr>
          <w:lang w:val="en-US"/>
        </w:rPr>
        <w:t>Conclusions</w:t>
      </w:r>
    </w:p>
    <w:p>
      <w:pPr>
        <w:snapToGrid w:val="0"/>
        <w:spacing w:before="180" w:beforeLines="50" w:after="180" w:afterLines="50" w:line="240" w:lineRule="auto"/>
        <w:jc w:val="both"/>
        <w:rPr>
          <w:rFonts w:ascii="Times New Roman" w:hAnsi="Times New Roman"/>
          <w:iCs/>
          <w:sz w:val="20"/>
          <w:szCs w:val="20"/>
        </w:rPr>
      </w:pPr>
      <w:bookmarkStart w:id="17" w:name="OLE_LINK10"/>
      <w:bookmarkStart w:id="18" w:name="OLE_LINK11"/>
      <w:r>
        <w:rPr>
          <w:rFonts w:ascii="Times New Roman" w:hAnsi="Times New Roman"/>
          <w:sz w:val="20"/>
          <w:szCs w:val="20"/>
          <w:lang w:val="en-GB"/>
        </w:rPr>
        <w:t xml:space="preserve">In this contribution, we provide </w:t>
      </w:r>
      <w:r>
        <w:rPr>
          <w:rFonts w:ascii="Times New Roman" w:hAnsi="Times New Roman"/>
          <w:sz w:val="20"/>
          <w:szCs w:val="20"/>
        </w:rPr>
        <w:t>our views to enhance HST-SFN deployment scenario</w:t>
      </w:r>
      <w:r>
        <w:rPr>
          <w:rFonts w:ascii="Times New Roman" w:hAnsi="Times New Roman"/>
          <w:i/>
          <w:iCs/>
          <w:sz w:val="20"/>
          <w:szCs w:val="20"/>
        </w:rPr>
        <w:t xml:space="preserve">. </w:t>
      </w:r>
      <w:r>
        <w:rPr>
          <w:rFonts w:ascii="Times New Roman" w:hAnsi="Times New Roman"/>
          <w:iCs/>
          <w:sz w:val="20"/>
          <w:szCs w:val="20"/>
        </w:rPr>
        <w:t xml:space="preserve">The proposals are given below. </w:t>
      </w:r>
    </w:p>
    <w:p>
      <w:pPr>
        <w:snapToGrid w:val="0"/>
        <w:spacing w:after="0" w:line="240" w:lineRule="auto"/>
        <w:jc w:val="both"/>
        <w:rPr>
          <w:rFonts w:ascii="Times New Roman" w:hAnsi="Times New Roman"/>
          <w:sz w:val="20"/>
          <w:szCs w:val="20"/>
        </w:rPr>
      </w:pPr>
      <w:r>
        <w:rPr>
          <w:rFonts w:hint="eastAsia" w:ascii="Times New Roman" w:hAnsi="Times New Roman"/>
          <w:b/>
          <w:bCs/>
          <w:i/>
          <w:iCs/>
          <w:sz w:val="20"/>
          <w:szCs w:val="20"/>
        </w:rPr>
        <w:t>Proposal 1:</w:t>
      </w:r>
      <w:r>
        <w:rPr>
          <w:rFonts w:ascii="Times New Roman" w:hAnsi="Times New Roman"/>
          <w:b/>
          <w:bCs/>
          <w:i/>
          <w:iCs/>
          <w:sz w:val="20"/>
          <w:szCs w:val="20"/>
        </w:rPr>
        <w:t xml:space="preserve"> </w:t>
      </w:r>
      <w:r>
        <w:rPr>
          <w:rFonts w:hint="eastAsia" w:ascii="Times New Roman" w:hAnsi="Times New Roman"/>
          <w:bCs/>
          <w:i/>
          <w:iCs/>
          <w:sz w:val="20"/>
          <w:szCs w:val="20"/>
        </w:rPr>
        <w:t>Confirm the working assumption</w:t>
      </w:r>
      <w:r>
        <w:rPr>
          <w:rFonts w:ascii="Times New Roman" w:hAnsi="Times New Roman"/>
          <w:bCs/>
          <w:i/>
          <w:iCs/>
          <w:sz w:val="20"/>
          <w:szCs w:val="20"/>
        </w:rPr>
        <w:t xml:space="preserve">, i.e. </w:t>
      </w:r>
      <w:r>
        <w:rPr>
          <w:rFonts w:hint="eastAsia" w:ascii="Times New Roman" w:hAnsi="Times New Roman"/>
          <w:bCs/>
          <w:i/>
          <w:iCs/>
          <w:sz w:val="20"/>
          <w:szCs w:val="20"/>
        </w:rPr>
        <w:t xml:space="preserve">reuse </w:t>
      </w:r>
      <w:r>
        <w:rPr>
          <w:rFonts w:ascii="Times New Roman" w:hAnsi="Times New Roman" w:eastAsia="Malgun Gothic"/>
          <w:i/>
          <w:iCs/>
          <w:sz w:val="20"/>
          <w:szCs w:val="20"/>
        </w:rPr>
        <w:t>legacy Rel-16 RRC parameters simultaneousTCI-UpdateList1, simultaneousTCI-UpdateList2 to define set of the serving cells which can be addressed by a single MAC CE for activation of two TCI states of CORESET with the same CORESET ID for all the BWPs</w:t>
      </w:r>
      <w:r>
        <w:rPr>
          <w:rFonts w:hint="eastAsia" w:ascii="Times New Roman" w:hAnsi="Times New Roman" w:eastAsia="Malgun Gothic"/>
          <w:i/>
          <w:iCs/>
          <w:sz w:val="20"/>
          <w:szCs w:val="20"/>
        </w:rPr>
        <w:t>.</w:t>
      </w:r>
    </w:p>
    <w:p>
      <w:pPr>
        <w:snapToGrid w:val="0"/>
        <w:spacing w:before="180" w:beforeLines="50" w:after="180" w:afterLines="50" w:line="240" w:lineRule="auto"/>
        <w:jc w:val="both"/>
        <w:rPr>
          <w:rFonts w:ascii="Times" w:hAnsi="Times" w:cs="Times"/>
          <w:sz w:val="20"/>
          <w:szCs w:val="20"/>
        </w:rPr>
      </w:pPr>
      <w:r>
        <w:rPr>
          <w:rFonts w:ascii="Times New Roman" w:hAnsi="Times New Roman"/>
          <w:b/>
          <w:i/>
          <w:sz w:val="20"/>
          <w:szCs w:val="20"/>
        </w:rPr>
        <w:t xml:space="preserve">Proposal </w:t>
      </w:r>
      <w:r>
        <w:rPr>
          <w:rFonts w:hint="eastAsia" w:ascii="Times New Roman" w:hAnsi="Times New Roman"/>
          <w:b/>
          <w:i/>
          <w:sz w:val="20"/>
          <w:szCs w:val="20"/>
        </w:rPr>
        <w:t>2</w:t>
      </w:r>
      <w:r>
        <w:rPr>
          <w:rFonts w:ascii="Times New Roman" w:hAnsi="Times New Roman"/>
          <w:b/>
          <w:i/>
          <w:sz w:val="20"/>
          <w:szCs w:val="20"/>
        </w:rPr>
        <w:t>:</w:t>
      </w:r>
      <w:r>
        <w:rPr>
          <w:rFonts w:hint="eastAsia" w:ascii="Times New Roman" w:hAnsi="Times New Roman"/>
          <w:b/>
          <w:i/>
          <w:sz w:val="20"/>
          <w:szCs w:val="20"/>
        </w:rPr>
        <w:t xml:space="preserve"> </w:t>
      </w:r>
      <w:r>
        <w:rPr>
          <w:rFonts w:ascii="Times New Roman" w:hAnsi="Times New Roman"/>
          <w:bCs/>
          <w:i/>
          <w:sz w:val="20"/>
          <w:szCs w:val="20"/>
        </w:rPr>
        <w:t xml:space="preserve">In the case when </w:t>
      </w:r>
      <w:r>
        <w:rPr>
          <w:rFonts w:ascii="Times" w:hAnsi="Times" w:cs="Times"/>
          <w:i/>
          <w:sz w:val="20"/>
          <w:szCs w:val="20"/>
        </w:rPr>
        <w:t>SFN PDSCH is not configured and SFN PDCCH is configured</w:t>
      </w:r>
      <w:r>
        <w:rPr>
          <w:rFonts w:ascii="Times New Roman" w:hAnsi="Times New Roman"/>
          <w:bCs/>
          <w:i/>
          <w:sz w:val="20"/>
          <w:szCs w:val="20"/>
        </w:rPr>
        <w:t xml:space="preserve">, </w:t>
      </w:r>
      <w:r>
        <w:rPr>
          <w:rFonts w:ascii="Times" w:hAnsi="Times" w:cs="Times"/>
          <w:i/>
          <w:iCs/>
          <w:sz w:val="20"/>
          <w:szCs w:val="20"/>
        </w:rPr>
        <w:t>enableTwoDefaultTCIStates should not be configured.</w:t>
      </w:r>
    </w:p>
    <w:p>
      <w:pPr>
        <w:snapToGrid w:val="0"/>
        <w:spacing w:before="180" w:beforeLines="50" w:after="180" w:afterLines="50" w:line="240" w:lineRule="auto"/>
        <w:jc w:val="both"/>
        <w:rPr>
          <w:rFonts w:ascii="Times New Roman" w:hAnsi="Times New Roman" w:eastAsia="Malgun Gothic"/>
          <w:i/>
          <w:iCs/>
          <w:sz w:val="20"/>
          <w:szCs w:val="20"/>
        </w:rPr>
      </w:pPr>
      <w:r>
        <w:rPr>
          <w:rFonts w:ascii="Times New Roman" w:hAnsi="Times New Roman"/>
          <w:b/>
          <w:i/>
          <w:sz w:val="20"/>
          <w:szCs w:val="20"/>
        </w:rPr>
        <w:t>Proposal 3:</w:t>
      </w:r>
      <w:r>
        <w:rPr>
          <w:rFonts w:ascii="Times New Roman" w:hAnsi="Times New Roman"/>
          <w:i/>
          <w:sz w:val="20"/>
          <w:szCs w:val="20"/>
        </w:rPr>
        <w:t xml:space="preserve"> Pre-compensation should be supported for FR2.</w:t>
      </w:r>
      <w:bookmarkStart w:id="21" w:name="_GoBack"/>
      <w:bookmarkEnd w:id="21"/>
    </w:p>
    <w:p>
      <w:pPr>
        <w:snapToGrid w:val="0"/>
        <w:spacing w:before="180" w:beforeLines="50" w:after="0" w:line="240" w:lineRule="auto"/>
        <w:jc w:val="both"/>
        <w:rPr>
          <w:rFonts w:ascii="Times New Roman" w:hAnsi="Times New Roman"/>
          <w:i/>
          <w:iCs/>
          <w:sz w:val="20"/>
          <w:szCs w:val="20"/>
        </w:rPr>
      </w:pPr>
      <w:r>
        <w:rPr>
          <w:rFonts w:hint="eastAsia" w:ascii="Times New Roman" w:hAnsi="Times New Roman"/>
          <w:b/>
          <w:bCs/>
          <w:i/>
          <w:iCs/>
          <w:sz w:val="20"/>
          <w:szCs w:val="20"/>
        </w:rPr>
        <w:t>Proposal 4:</w:t>
      </w:r>
      <w:r>
        <w:rPr>
          <w:rFonts w:ascii="Times New Roman" w:hAnsi="Times New Roman"/>
          <w:b/>
          <w:bCs/>
          <w:i/>
          <w:iCs/>
          <w:sz w:val="20"/>
          <w:szCs w:val="20"/>
        </w:rPr>
        <w:t xml:space="preserve"> </w:t>
      </w:r>
      <w:r>
        <w:rPr>
          <w:rFonts w:ascii="Times New Roman" w:hAnsi="Times New Roman"/>
          <w:i/>
          <w:iCs/>
          <w:sz w:val="20"/>
          <w:szCs w:val="20"/>
        </w:rPr>
        <w:t xml:space="preserve">When PL-RS and spatial relation information are not configured and default beam is enabled for the PUCCH transmission, </w:t>
      </w:r>
      <w:r>
        <w:rPr>
          <w:rFonts w:hint="eastAsia" w:ascii="Times New Roman" w:hAnsi="Times New Roman"/>
          <w:i/>
          <w:iCs/>
          <w:sz w:val="20"/>
          <w:szCs w:val="20"/>
        </w:rPr>
        <w:t>if two TCI states are activated for the CORESET with the lowest ID on the active DL BWP</w:t>
      </w:r>
      <w:r>
        <w:rPr>
          <w:rFonts w:ascii="Times New Roman" w:hAnsi="Times New Roman"/>
          <w:i/>
          <w:iCs/>
          <w:sz w:val="20"/>
          <w:szCs w:val="20"/>
        </w:rPr>
        <w:t xml:space="preserve">, </w:t>
      </w:r>
    </w:p>
    <w:p>
      <w:pPr>
        <w:pStyle w:val="98"/>
        <w:numPr>
          <w:ilvl w:val="0"/>
          <w:numId w:val="16"/>
        </w:numPr>
        <w:tabs>
          <w:tab w:val="clear" w:pos="420"/>
        </w:tabs>
        <w:snapToGrid w:val="0"/>
        <w:spacing w:after="0" w:line="240" w:lineRule="auto"/>
        <w:ind w:left="839"/>
        <w:rPr>
          <w:rFonts w:ascii="Times" w:hAnsi="Times" w:cs="Times"/>
          <w:i/>
          <w:iCs/>
          <w:sz w:val="20"/>
          <w:szCs w:val="20"/>
        </w:rPr>
      </w:pPr>
      <w:r>
        <w:rPr>
          <w:rFonts w:hint="eastAsia" w:ascii="Times" w:hAnsi="Times" w:cs="Times"/>
          <w:i/>
          <w:iCs/>
          <w:sz w:val="20"/>
          <w:szCs w:val="20"/>
        </w:rPr>
        <w:t>If PUCCH repetition is configured, the two TCI states activated for the CORESET with the lowest ID on the active DL BWP are used to determine the spatial relation and PL-RS of PUCCH transmission occasions, and each TCI state is associated to one PUCCH transmission occasion group.</w:t>
      </w:r>
    </w:p>
    <w:p>
      <w:pPr>
        <w:snapToGrid w:val="0"/>
        <w:spacing w:before="180" w:beforeLines="50" w:after="0" w:line="240" w:lineRule="auto"/>
        <w:jc w:val="both"/>
        <w:rPr>
          <w:rFonts w:ascii="Times New Roman" w:hAnsi="Times New Roman"/>
          <w:i/>
          <w:iCs/>
          <w:sz w:val="20"/>
          <w:szCs w:val="20"/>
        </w:rPr>
      </w:pPr>
      <w:r>
        <w:rPr>
          <w:rFonts w:hint="eastAsia" w:ascii="Times New Roman" w:hAnsi="Times New Roman"/>
          <w:b/>
          <w:bCs/>
          <w:i/>
          <w:iCs/>
          <w:sz w:val="20"/>
          <w:szCs w:val="20"/>
        </w:rPr>
        <w:t>Proposal 5:</w:t>
      </w:r>
      <w:r>
        <w:rPr>
          <w:rFonts w:ascii="Times New Roman" w:hAnsi="Times New Roman"/>
          <w:b/>
          <w:bCs/>
          <w:i/>
          <w:iCs/>
          <w:sz w:val="20"/>
          <w:szCs w:val="20"/>
        </w:rPr>
        <w:t xml:space="preserve"> </w:t>
      </w:r>
      <w:r>
        <w:rPr>
          <w:rFonts w:ascii="Times New Roman" w:hAnsi="Times New Roman"/>
          <w:bCs/>
          <w:i/>
          <w:iCs/>
          <w:sz w:val="20"/>
          <w:szCs w:val="20"/>
        </w:rPr>
        <w:t xml:space="preserve">When the default spatial relation </w:t>
      </w:r>
      <w:r>
        <w:rPr>
          <w:rFonts w:hint="eastAsia" w:ascii="Times New Roman" w:hAnsi="Times New Roman"/>
          <w:bCs/>
          <w:i/>
          <w:iCs/>
          <w:sz w:val="20"/>
          <w:szCs w:val="20"/>
        </w:rPr>
        <w:t xml:space="preserve">and PL-RS </w:t>
      </w:r>
      <w:r>
        <w:rPr>
          <w:rFonts w:ascii="Times New Roman" w:hAnsi="Times New Roman"/>
          <w:bCs/>
          <w:i/>
          <w:iCs/>
          <w:sz w:val="20"/>
          <w:szCs w:val="20"/>
        </w:rPr>
        <w:t xml:space="preserve">of PUSCH </w:t>
      </w:r>
      <w:r>
        <w:rPr>
          <w:rFonts w:hint="eastAsia" w:ascii="Times New Roman" w:hAnsi="Times New Roman"/>
          <w:bCs/>
          <w:i/>
          <w:iCs/>
          <w:sz w:val="20"/>
          <w:szCs w:val="20"/>
        </w:rPr>
        <w:t xml:space="preserve">are </w:t>
      </w:r>
      <w:r>
        <w:rPr>
          <w:rFonts w:ascii="Times New Roman" w:hAnsi="Times New Roman"/>
          <w:bCs/>
          <w:i/>
          <w:iCs/>
          <w:sz w:val="20"/>
          <w:szCs w:val="20"/>
        </w:rPr>
        <w:t xml:space="preserve"> determined by QCL assumption of CORESET with lowest ID, and </w:t>
      </w:r>
      <w:r>
        <w:rPr>
          <w:rFonts w:hint="eastAsia" w:ascii="Times New Roman" w:hAnsi="Times New Roman"/>
          <w:i/>
          <w:iCs/>
          <w:sz w:val="20"/>
          <w:szCs w:val="20"/>
        </w:rPr>
        <w:t>two TCI states are activated for the CORESET</w:t>
      </w:r>
      <w:r>
        <w:rPr>
          <w:rFonts w:ascii="Times New Roman" w:hAnsi="Times New Roman"/>
          <w:i/>
          <w:iCs/>
          <w:sz w:val="20"/>
          <w:szCs w:val="20"/>
        </w:rPr>
        <w:t>,</w:t>
      </w:r>
    </w:p>
    <w:p>
      <w:pPr>
        <w:numPr>
          <w:ilvl w:val="0"/>
          <w:numId w:val="8"/>
        </w:numPr>
        <w:snapToGrid w:val="0"/>
        <w:spacing w:after="0" w:line="240" w:lineRule="auto"/>
        <w:jc w:val="both"/>
        <w:rPr>
          <w:rFonts w:ascii="Times New Roman" w:hAnsi="Times New Roman"/>
          <w:sz w:val="20"/>
          <w:szCs w:val="20"/>
        </w:rPr>
      </w:pPr>
      <w:r>
        <w:rPr>
          <w:rFonts w:hint="eastAsia" w:ascii="Times New Roman" w:hAnsi="Times New Roman"/>
          <w:i/>
          <w:iCs/>
          <w:sz w:val="20"/>
          <w:szCs w:val="20"/>
        </w:rPr>
        <w:t>If PUSCH repetition is configured, the two TCI states activated for the CORESET with the lowest ID are used as the default spatial relation and PL-RS, and each TCI state is associated to one PUSCH transmission occasion group.</w:t>
      </w:r>
    </w:p>
    <w:p>
      <w:pPr>
        <w:snapToGrid w:val="0"/>
        <w:spacing w:before="180" w:beforeLines="50" w:after="0" w:line="240" w:lineRule="auto"/>
        <w:jc w:val="both"/>
        <w:rPr>
          <w:rFonts w:ascii="Times New Roman" w:hAnsi="Times New Roman"/>
          <w:i/>
          <w:iCs/>
          <w:sz w:val="20"/>
          <w:szCs w:val="20"/>
        </w:rPr>
      </w:pPr>
      <w:r>
        <w:rPr>
          <w:rFonts w:hint="eastAsia" w:ascii="Times New Roman" w:hAnsi="Times New Roman"/>
          <w:b/>
          <w:bCs/>
          <w:i/>
          <w:iCs/>
          <w:sz w:val="20"/>
          <w:szCs w:val="20"/>
        </w:rPr>
        <w:t>Proposal 6:</w:t>
      </w:r>
      <w:r>
        <w:rPr>
          <w:rFonts w:ascii="Times New Roman" w:hAnsi="Times New Roman"/>
          <w:b/>
          <w:bCs/>
          <w:i/>
          <w:iCs/>
          <w:sz w:val="20"/>
          <w:szCs w:val="20"/>
        </w:rPr>
        <w:t xml:space="preserve"> </w:t>
      </w:r>
      <w:r>
        <w:rPr>
          <w:rFonts w:ascii="Times New Roman" w:hAnsi="Times New Roman"/>
          <w:bCs/>
          <w:i/>
          <w:iCs/>
          <w:sz w:val="20"/>
          <w:szCs w:val="20"/>
        </w:rPr>
        <w:t xml:space="preserve">When the default </w:t>
      </w:r>
      <w:r>
        <w:rPr>
          <w:rFonts w:hint="eastAsia" w:ascii="Times New Roman" w:hAnsi="Times New Roman"/>
          <w:bCs/>
          <w:i/>
          <w:iCs/>
          <w:sz w:val="20"/>
          <w:szCs w:val="20"/>
        </w:rPr>
        <w:t xml:space="preserve">spatial relation and </w:t>
      </w:r>
      <w:r>
        <w:rPr>
          <w:rFonts w:ascii="Times New Roman" w:hAnsi="Times New Roman"/>
          <w:bCs/>
          <w:i/>
          <w:iCs/>
          <w:sz w:val="20"/>
          <w:szCs w:val="20"/>
        </w:rPr>
        <w:t xml:space="preserve">PL-RS of SRS </w:t>
      </w:r>
      <w:r>
        <w:rPr>
          <w:rFonts w:hint="eastAsia" w:ascii="Times New Roman" w:hAnsi="Times New Roman"/>
          <w:bCs/>
          <w:i/>
          <w:iCs/>
          <w:sz w:val="20"/>
          <w:szCs w:val="20"/>
        </w:rPr>
        <w:t>are</w:t>
      </w:r>
      <w:r>
        <w:rPr>
          <w:rFonts w:ascii="Times New Roman" w:hAnsi="Times New Roman"/>
          <w:bCs/>
          <w:i/>
          <w:iCs/>
          <w:sz w:val="20"/>
          <w:szCs w:val="20"/>
        </w:rPr>
        <w:t xml:space="preserve"> determined by QCL RS of CORESET with lowest ID, and </w:t>
      </w:r>
      <w:r>
        <w:rPr>
          <w:rFonts w:hint="eastAsia" w:ascii="Times New Roman" w:hAnsi="Times New Roman"/>
          <w:i/>
          <w:iCs/>
          <w:sz w:val="20"/>
          <w:szCs w:val="20"/>
        </w:rPr>
        <w:t>two TCI states are activated for the CORESET,</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w:t>
      </w:r>
      <w:r>
        <w:rPr>
          <w:rFonts w:ascii="Times New Roman" w:hAnsi="Times New Roman"/>
          <w:i/>
          <w:iCs/>
          <w:sz w:val="20"/>
          <w:szCs w:val="20"/>
        </w:rPr>
        <w:t xml:space="preserve">f two SRS resource sets for codebook/non-codebook are configured, </w:t>
      </w:r>
      <w:r>
        <w:rPr>
          <w:rFonts w:hint="eastAsia" w:ascii="Times New Roman" w:hAnsi="Times New Roman"/>
          <w:i/>
          <w:iCs/>
          <w:sz w:val="20"/>
          <w:szCs w:val="20"/>
        </w:rPr>
        <w:t xml:space="preserve">the two TCI states activated for the CORESET with the lowest ID are used as the default beam and </w:t>
      </w:r>
      <w:r>
        <w:rPr>
          <w:rFonts w:ascii="Times New Roman" w:hAnsi="Times New Roman"/>
          <w:i/>
          <w:iCs/>
          <w:sz w:val="20"/>
          <w:szCs w:val="20"/>
        </w:rPr>
        <w:t>PL-RS of SRS</w:t>
      </w:r>
      <w:r>
        <w:rPr>
          <w:rFonts w:hint="eastAsia" w:ascii="Times New Roman" w:hAnsi="Times New Roman"/>
          <w:i/>
          <w:iCs/>
          <w:sz w:val="20"/>
          <w:szCs w:val="20"/>
        </w:rPr>
        <w:t>, and each TCI states is associated to one</w:t>
      </w:r>
      <w:r>
        <w:rPr>
          <w:rFonts w:ascii="Times New Roman" w:hAnsi="Times New Roman"/>
          <w:i/>
          <w:iCs/>
          <w:sz w:val="20"/>
          <w:szCs w:val="20"/>
        </w:rPr>
        <w:t xml:space="preserve"> SRS resource set</w:t>
      </w:r>
    </w:p>
    <w:p>
      <w:pPr>
        <w:snapToGrid w:val="0"/>
        <w:spacing w:before="180" w:beforeLines="50" w:after="0" w:line="240" w:lineRule="auto"/>
        <w:rPr>
          <w:rStyle w:val="34"/>
        </w:rPr>
      </w:pPr>
      <w:r>
        <w:rPr>
          <w:rFonts w:hint="eastAsia" w:ascii="Times New Roman" w:hAnsi="Times New Roman"/>
          <w:b/>
          <w:bCs/>
          <w:i/>
          <w:iCs/>
          <w:sz w:val="20"/>
          <w:szCs w:val="20"/>
        </w:rPr>
        <w:t xml:space="preserve">Proposal 7: </w:t>
      </w:r>
      <w:r>
        <w:rPr>
          <w:rFonts w:ascii="Times New Roman" w:hAnsi="Times New Roman"/>
          <w:i/>
          <w:iCs/>
          <w:sz w:val="20"/>
          <w:szCs w:val="20"/>
        </w:rPr>
        <w:t>F</w:t>
      </w:r>
      <w:r>
        <w:rPr>
          <w:rFonts w:hint="eastAsia" w:ascii="Times New Roman" w:hAnsi="Times New Roman"/>
          <w:i/>
          <w:iCs/>
          <w:sz w:val="20"/>
          <w:szCs w:val="20"/>
        </w:rPr>
        <w:t>or BFD</w:t>
      </w:r>
    </w:p>
    <w:p>
      <w:pPr>
        <w:numPr>
          <w:ilvl w:val="0"/>
          <w:numId w:val="8"/>
        </w:numPr>
        <w:snapToGrid w:val="0"/>
        <w:spacing w:after="0" w:line="240" w:lineRule="auto"/>
        <w:ind w:left="839"/>
        <w:jc w:val="both"/>
        <w:rPr>
          <w:rFonts w:ascii="Times New Roman" w:hAnsi="Times New Roman"/>
          <w:i/>
          <w:iCs/>
          <w:sz w:val="20"/>
          <w:szCs w:val="20"/>
          <w:lang w:val="en-GB" w:eastAsia="ko-KR"/>
        </w:rPr>
      </w:pPr>
      <w:r>
        <w:rPr>
          <w:rFonts w:hint="eastAsia" w:ascii="Times New Roman" w:hAnsi="Times New Roman"/>
          <w:i/>
          <w:iCs/>
          <w:sz w:val="20"/>
          <w:szCs w:val="20"/>
        </w:rPr>
        <w:t>F</w:t>
      </w:r>
      <w:r>
        <w:rPr>
          <w:rFonts w:ascii="Times New Roman" w:hAnsi="Times New Roman"/>
          <w:i/>
          <w:iCs/>
          <w:sz w:val="20"/>
          <w:szCs w:val="20"/>
        </w:rPr>
        <w:t xml:space="preserve">or </w:t>
      </w:r>
      <w:r>
        <w:rPr>
          <w:rFonts w:ascii="Times New Roman" w:hAnsi="Times New Roman"/>
          <w:i/>
          <w:iCs/>
          <w:sz w:val="20"/>
          <w:szCs w:val="20"/>
          <w:lang w:val="en-GB" w:eastAsia="ko-KR"/>
        </w:rPr>
        <w:t>explicit configuration</w:t>
      </w:r>
      <w:r>
        <w:rPr>
          <w:rFonts w:ascii="Times New Roman" w:hAnsi="Times New Roman"/>
          <w:i/>
          <w:iCs/>
          <w:sz w:val="20"/>
          <w:szCs w:val="20"/>
        </w:rPr>
        <w:t xml:space="preserve">, </w:t>
      </w:r>
      <w:r>
        <w:rPr>
          <w:rFonts w:hint="eastAsia" w:ascii="Times New Roman" w:hAnsi="Times New Roman"/>
          <w:i/>
          <w:iCs/>
          <w:sz w:val="20"/>
          <w:szCs w:val="20"/>
        </w:rPr>
        <w:t>s</w:t>
      </w:r>
      <w:r>
        <w:rPr>
          <w:rFonts w:ascii="Times New Roman" w:hAnsi="Times New Roman"/>
          <w:i/>
          <w:iCs/>
          <w:sz w:val="20"/>
          <w:szCs w:val="20"/>
          <w:lang w:val="en-GB" w:eastAsia="ko-KR"/>
        </w:rPr>
        <w:t xml:space="preserve">upport defining </w:t>
      </w:r>
      <w:r>
        <w:rPr>
          <w:rFonts w:ascii="Times New Roman" w:hAnsi="Times New Roman"/>
          <w:i/>
          <w:iCs/>
          <w:sz w:val="20"/>
          <w:szCs w:val="20"/>
        </w:rPr>
        <w:t>CSI-RS resource or SSB pairs</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F</w:t>
      </w:r>
      <w:r>
        <w:rPr>
          <w:rFonts w:ascii="Times New Roman" w:hAnsi="Times New Roman"/>
          <w:i/>
          <w:iCs/>
          <w:sz w:val="20"/>
          <w:szCs w:val="20"/>
        </w:rPr>
        <w:t>or implicit configuration, UE calculates single hypothetical BLER for each CORESET.</w:t>
      </w:r>
    </w:p>
    <w:p>
      <w:pPr>
        <w:keepNext w:val="0"/>
        <w:keepLines w:val="0"/>
        <w:pageBreakBefore w:val="0"/>
        <w:widowControl/>
        <w:kinsoku/>
        <w:wordWrap/>
        <w:overflowPunct/>
        <w:topLinePunct w:val="0"/>
        <w:autoSpaceDE/>
        <w:autoSpaceDN/>
        <w:bidi w:val="0"/>
        <w:adjustRightInd/>
        <w:snapToGrid w:val="0"/>
        <w:spacing w:before="180" w:beforeLines="50" w:after="10" w:line="240" w:lineRule="auto"/>
        <w:textAlignment w:val="auto"/>
        <w:rPr>
          <w:rFonts w:ascii="Times New Roman" w:hAnsi="Times New Roman"/>
          <w:i/>
          <w:iCs/>
          <w:sz w:val="20"/>
          <w:szCs w:val="20"/>
        </w:rPr>
      </w:pPr>
      <w:r>
        <w:rPr>
          <w:rFonts w:hint="eastAsia" w:ascii="Times New Roman" w:hAnsi="Times New Roman"/>
          <w:b/>
          <w:bCs/>
          <w:i/>
          <w:iCs/>
          <w:sz w:val="20"/>
          <w:szCs w:val="20"/>
        </w:rPr>
        <w:t xml:space="preserve">Proposal 8: </w:t>
      </w:r>
      <w:r>
        <w:rPr>
          <w:rFonts w:ascii="Times New Roman" w:hAnsi="Times New Roman"/>
          <w:i/>
          <w:iCs/>
          <w:sz w:val="20"/>
          <w:szCs w:val="20"/>
        </w:rPr>
        <w:t>F</w:t>
      </w:r>
      <w:r>
        <w:rPr>
          <w:rFonts w:hint="eastAsia" w:ascii="Times New Roman" w:hAnsi="Times New Roman"/>
          <w:i/>
          <w:iCs/>
          <w:sz w:val="20"/>
          <w:szCs w:val="20"/>
        </w:rPr>
        <w:t>or NBI, Alt 4-2 should be additionally support</w:t>
      </w:r>
      <w:r>
        <w:rPr>
          <w:rFonts w:ascii="Times New Roman" w:hAnsi="Times New Roman"/>
          <w:i/>
          <w:iCs/>
          <w:sz w:val="20"/>
          <w:szCs w:val="20"/>
        </w:rPr>
        <w:t>ed</w:t>
      </w:r>
      <w:r>
        <w:rPr>
          <w:rFonts w:hint="eastAsia" w:ascii="Times New Roman" w:hAnsi="Times New Roman"/>
          <w:i/>
          <w:iCs/>
          <w:sz w:val="20"/>
          <w:szCs w:val="20"/>
        </w:rPr>
        <w:t xml:space="preserve">, i.e. </w:t>
      </w:r>
      <w:r>
        <w:rPr>
          <w:rFonts w:ascii="Times" w:hAnsi="Times" w:eastAsia="Calibri" w:cs="Times"/>
          <w:i/>
          <w:iCs/>
          <w:sz w:val="20"/>
          <w:szCs w:val="20"/>
          <w:lang w:val="en-GB"/>
        </w:rPr>
        <w:t>two new beam identification CSI-RS resource sets / new beam identification CSI-RS resource pairs or SSB pairs</w:t>
      </w:r>
      <w:r>
        <w:rPr>
          <w:rFonts w:hint="eastAsia" w:ascii="Times New Roman" w:hAnsi="Times New Roman"/>
          <w:i/>
          <w:iCs/>
          <w:sz w:val="20"/>
          <w:szCs w:val="20"/>
        </w:rPr>
        <w:t>.</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jc w:val="both"/>
        <w:textAlignment w:val="auto"/>
        <w:rPr>
          <w:rFonts w:ascii="Times" w:hAnsi="Times" w:cs="Times"/>
          <w:i/>
          <w:iCs/>
          <w:sz w:val="20"/>
          <w:szCs w:val="20"/>
          <w:lang w:eastAsia="ko-KR"/>
        </w:rPr>
      </w:pPr>
      <w:bookmarkStart w:id="19" w:name="OLE_LINK4"/>
      <w:r>
        <w:rPr>
          <w:rFonts w:hint="eastAsia" w:ascii="Times New Roman" w:hAnsi="Times New Roman"/>
          <w:b/>
          <w:bCs/>
          <w:i/>
          <w:iCs/>
          <w:sz w:val="20"/>
          <w:szCs w:val="20"/>
        </w:rPr>
        <w:t xml:space="preserve">Proposal 9: </w:t>
      </w:r>
      <w:r>
        <w:rPr>
          <w:rFonts w:hint="eastAsia" w:ascii="Times" w:hAnsi="Times" w:cs="Times"/>
          <w:i/>
          <w:iCs/>
          <w:sz w:val="20"/>
          <w:szCs w:val="20"/>
        </w:rPr>
        <w:t>Reuse Rel-15 prioritization to identify one CORESET</w:t>
      </w:r>
    </w:p>
    <w:p>
      <w:pPr>
        <w:numPr>
          <w:ilvl w:val="0"/>
          <w:numId w:val="8"/>
        </w:numPr>
        <w:snapToGrid w:val="0"/>
        <w:spacing w:after="0" w:line="240" w:lineRule="auto"/>
        <w:ind w:left="839"/>
        <w:jc w:val="both"/>
        <w:rPr>
          <w:rFonts w:hint="eastAsia" w:ascii="Times New Roman" w:hAnsi="Times New Roman"/>
          <w:i/>
          <w:iCs/>
          <w:sz w:val="20"/>
          <w:szCs w:val="20"/>
          <w:lang w:val="en-GB"/>
        </w:rPr>
      </w:pPr>
      <w:r>
        <w:rPr>
          <w:rFonts w:hint="eastAsia" w:ascii="Times New Roman" w:hAnsi="Times New Roman"/>
          <w:i/>
          <w:iCs/>
          <w:sz w:val="20"/>
          <w:szCs w:val="20"/>
          <w:lang w:val="en-GB"/>
        </w:rPr>
        <w:t>If the CORESET has one TCI state with QCL</w:t>
      </w:r>
      <w:r>
        <w:rPr>
          <w:rFonts w:hint="eastAsia" w:ascii="Times New Roman" w:hAnsi="Times New Roman"/>
          <w:i/>
          <w:iCs/>
          <w:sz w:val="20"/>
          <w:szCs w:val="20"/>
        </w:rPr>
        <w:t>-</w:t>
      </w:r>
      <w:r>
        <w:rPr>
          <w:rFonts w:hint="eastAsia" w:ascii="Times New Roman" w:hAnsi="Times New Roman"/>
          <w:i/>
          <w:iCs/>
          <w:sz w:val="20"/>
          <w:szCs w:val="20"/>
          <w:lang w:val="en-GB"/>
        </w:rPr>
        <w:t>typeD, the second QCL</w:t>
      </w:r>
      <w:r>
        <w:rPr>
          <w:rFonts w:hint="eastAsia" w:ascii="Times New Roman" w:hAnsi="Times New Roman"/>
          <w:i/>
          <w:iCs/>
          <w:sz w:val="20"/>
          <w:szCs w:val="20"/>
        </w:rPr>
        <w:t>-</w:t>
      </w:r>
      <w:r>
        <w:rPr>
          <w:rFonts w:hint="eastAsia" w:ascii="Times New Roman" w:hAnsi="Times New Roman"/>
          <w:i/>
          <w:iCs/>
          <w:sz w:val="20"/>
          <w:szCs w:val="20"/>
          <w:lang w:val="en-GB"/>
        </w:rPr>
        <w:t>typeD is not identified</w:t>
      </w:r>
    </w:p>
    <w:p>
      <w:pPr>
        <w:numPr>
          <w:ilvl w:val="0"/>
          <w:numId w:val="8"/>
        </w:numPr>
        <w:snapToGrid w:val="0"/>
        <w:spacing w:after="0" w:line="240" w:lineRule="auto"/>
        <w:ind w:left="839"/>
        <w:jc w:val="both"/>
        <w:rPr>
          <w:rFonts w:hint="eastAsia" w:ascii="Times New Roman" w:hAnsi="Times New Roman"/>
          <w:i/>
          <w:iCs/>
          <w:sz w:val="20"/>
          <w:szCs w:val="20"/>
          <w:lang w:val="en-GB"/>
        </w:rPr>
      </w:pPr>
      <w:r>
        <w:rPr>
          <w:rFonts w:hint="eastAsia" w:ascii="Times New Roman" w:hAnsi="Times New Roman"/>
          <w:i/>
          <w:iCs/>
          <w:sz w:val="20"/>
          <w:szCs w:val="20"/>
          <w:lang w:val="en-GB"/>
        </w:rPr>
        <w:t>If the CORESET has two TCI states with QCL-typeD, both QCL-typeD are identified.</w:t>
      </w:r>
    </w:p>
    <w:bookmarkEnd w:id="19"/>
    <w:p>
      <w:pPr>
        <w:pStyle w:val="111"/>
        <w:tabs>
          <w:tab w:val="left" w:pos="720"/>
        </w:tabs>
        <w:snapToGrid w:val="0"/>
        <w:spacing w:before="180" w:beforeLines="50" w:beforeAutospacing="0" w:after="0" w:afterAutospacing="0" w:line="240" w:lineRule="auto"/>
        <w:rPr>
          <w:rFonts w:ascii="Times New Roman" w:hAnsi="Times New Roman" w:cs="Times New Roman"/>
          <w:i/>
          <w:iCs/>
          <w:sz w:val="20"/>
          <w:szCs w:val="20"/>
          <w:lang w:eastAsia="zh-CN"/>
        </w:rPr>
      </w:pPr>
      <w:r>
        <w:rPr>
          <w:rFonts w:ascii="Times New Roman" w:hAnsi="Times New Roman" w:cs="Times New Roman"/>
          <w:b/>
          <w:bCs/>
          <w:i/>
          <w:iCs/>
          <w:sz w:val="20"/>
          <w:szCs w:val="20"/>
        </w:rPr>
        <w:t xml:space="preserve">Proposal 10: </w:t>
      </w:r>
      <w:r>
        <w:rPr>
          <w:rFonts w:ascii="Times New Roman" w:hAnsi="Times New Roman" w:eastAsia="宋体" w:cs="Times New Roman"/>
          <w:bCs/>
          <w:i/>
          <w:sz w:val="20"/>
          <w:szCs w:val="20"/>
        </w:rPr>
        <w:t xml:space="preserve">Support Alt 3 with modification, i.e. </w:t>
      </w:r>
      <w:r>
        <w:rPr>
          <w:rFonts w:ascii="Times New Roman" w:hAnsi="Times New Roman" w:cs="Times New Roman"/>
          <w:i/>
          <w:iCs/>
          <w:sz w:val="20"/>
          <w:szCs w:val="20"/>
          <w:lang w:eastAsia="zh-CN"/>
        </w:rPr>
        <w:t>if PDCCH candidates in CSS 0/0A/1/2/3 are associated with CORESET that activated with two TCI states,</w:t>
      </w:r>
    </w:p>
    <w:p>
      <w:pPr>
        <w:numPr>
          <w:ilvl w:val="0"/>
          <w:numId w:val="8"/>
        </w:numPr>
        <w:snapToGrid w:val="0"/>
        <w:spacing w:after="0" w:line="240" w:lineRule="auto"/>
        <w:ind w:left="839"/>
        <w:jc w:val="both"/>
        <w:rPr>
          <w:rFonts w:hint="eastAsia" w:ascii="Times New Roman" w:hAnsi="Times New Roman"/>
          <w:i/>
          <w:iCs/>
          <w:sz w:val="20"/>
          <w:szCs w:val="20"/>
          <w:lang w:val="en-GB" w:eastAsia="zh-CN"/>
        </w:rPr>
      </w:pPr>
      <w:r>
        <w:rPr>
          <w:rFonts w:hint="default" w:ascii="Times New Roman" w:hAnsi="Times New Roman"/>
          <w:i/>
          <w:iCs/>
          <w:sz w:val="20"/>
          <w:szCs w:val="20"/>
          <w:lang w:val="en-GB" w:eastAsia="zh-CN"/>
        </w:rPr>
        <w:t xml:space="preserve">For </w:t>
      </w:r>
      <w:r>
        <w:rPr>
          <w:rFonts w:hint="eastAsia" w:ascii="Times New Roman" w:hAnsi="Times New Roman"/>
          <w:i/>
          <w:iCs/>
          <w:sz w:val="20"/>
          <w:szCs w:val="20"/>
          <w:lang w:val="en-GB" w:eastAsia="zh-CN"/>
        </w:rPr>
        <w:t xml:space="preserve">CSS </w:t>
      </w:r>
      <w:r>
        <w:rPr>
          <w:rFonts w:hint="default" w:ascii="Times New Roman" w:hAnsi="Times New Roman"/>
          <w:i/>
          <w:iCs/>
          <w:sz w:val="20"/>
          <w:szCs w:val="20"/>
          <w:lang w:val="en-GB" w:eastAsia="zh-CN"/>
        </w:rPr>
        <w:t xml:space="preserve">type </w:t>
      </w:r>
      <w:r>
        <w:rPr>
          <w:rFonts w:hint="eastAsia" w:ascii="Times New Roman" w:hAnsi="Times New Roman"/>
          <w:i/>
          <w:iCs/>
          <w:sz w:val="20"/>
          <w:szCs w:val="20"/>
          <w:lang w:val="en-GB" w:eastAsia="zh-CN"/>
        </w:rPr>
        <w:t>0/0A/2</w:t>
      </w:r>
      <w:r>
        <w:rPr>
          <w:rFonts w:hint="default" w:ascii="Times New Roman" w:hAnsi="Times New Roman"/>
          <w:i/>
          <w:iCs/>
          <w:sz w:val="20"/>
          <w:szCs w:val="20"/>
          <w:lang w:val="en-GB" w:eastAsia="zh-CN"/>
        </w:rPr>
        <w:t xml:space="preserve"> configured with search space index 0, the monitoring occasion</w:t>
      </w:r>
      <w:r>
        <w:rPr>
          <w:rFonts w:hint="eastAsia" w:ascii="Times New Roman" w:hAnsi="Times New Roman"/>
          <w:i/>
          <w:iCs/>
          <w:sz w:val="20"/>
          <w:szCs w:val="20"/>
          <w:lang w:val="en-GB" w:eastAsia="zh-CN"/>
        </w:rPr>
        <w:t xml:space="preserve">s </w:t>
      </w:r>
      <w:r>
        <w:rPr>
          <w:rFonts w:hint="default" w:ascii="Times New Roman" w:hAnsi="Times New Roman"/>
          <w:i/>
          <w:iCs/>
          <w:sz w:val="20"/>
          <w:szCs w:val="20"/>
          <w:lang w:val="en-GB" w:eastAsia="zh-CN"/>
        </w:rPr>
        <w:t xml:space="preserve">are determined by two SSB indexes </w:t>
      </w:r>
      <w:r>
        <w:rPr>
          <w:rFonts w:hint="eastAsia" w:ascii="Times New Roman" w:hAnsi="Times New Roman"/>
          <w:i/>
          <w:iCs/>
          <w:sz w:val="20"/>
          <w:szCs w:val="20"/>
          <w:lang w:val="en-GB" w:eastAsia="zh-CN"/>
        </w:rPr>
        <w:t>associated with</w:t>
      </w:r>
      <w:r>
        <w:rPr>
          <w:rFonts w:hint="default" w:ascii="Times New Roman" w:hAnsi="Times New Roman"/>
          <w:i/>
          <w:iCs/>
          <w:sz w:val="20"/>
          <w:szCs w:val="20"/>
          <w:lang w:val="en-GB" w:eastAsia="zh-CN"/>
        </w:rPr>
        <w:t xml:space="preserve"> the two activated TCI states of </w:t>
      </w:r>
      <w:r>
        <w:rPr>
          <w:rFonts w:hint="eastAsia" w:ascii="Times New Roman" w:hAnsi="Times New Roman"/>
          <w:i/>
          <w:iCs/>
          <w:sz w:val="20"/>
          <w:szCs w:val="20"/>
          <w:lang w:val="en-GB" w:eastAsia="zh-CN"/>
        </w:rPr>
        <w:t xml:space="preserve">the </w:t>
      </w:r>
      <w:r>
        <w:rPr>
          <w:rFonts w:hint="default" w:ascii="Times New Roman" w:hAnsi="Times New Roman"/>
          <w:i/>
          <w:iCs/>
          <w:sz w:val="20"/>
          <w:szCs w:val="20"/>
          <w:lang w:val="en-GB" w:eastAsia="zh-CN"/>
        </w:rPr>
        <w:t>CORESET 0.</w:t>
      </w:r>
    </w:p>
    <w:p>
      <w:pPr>
        <w:numPr>
          <w:ilvl w:val="0"/>
          <w:numId w:val="8"/>
        </w:numPr>
        <w:snapToGrid w:val="0"/>
        <w:spacing w:after="0" w:line="240" w:lineRule="auto"/>
        <w:ind w:left="839"/>
        <w:jc w:val="both"/>
        <w:rPr>
          <w:rFonts w:hint="default" w:ascii="Times New Roman" w:hAnsi="Times New Roman"/>
          <w:i/>
          <w:iCs/>
          <w:sz w:val="20"/>
          <w:szCs w:val="20"/>
          <w:lang w:val="en-GB" w:eastAsia="zh-CN"/>
        </w:rPr>
      </w:pPr>
      <w:r>
        <w:rPr>
          <w:rFonts w:hint="default" w:ascii="Times New Roman" w:hAnsi="Times New Roman"/>
          <w:i/>
          <w:iCs/>
          <w:sz w:val="20"/>
          <w:szCs w:val="20"/>
          <w:lang w:val="en-GB" w:eastAsia="zh-CN"/>
        </w:rPr>
        <w:t>For CSS type 1, the first TCI state is applied</w:t>
      </w:r>
    </w:p>
    <w:p>
      <w:pPr>
        <w:numPr>
          <w:ilvl w:val="0"/>
          <w:numId w:val="8"/>
        </w:numPr>
        <w:snapToGrid w:val="0"/>
        <w:spacing w:after="0" w:line="240" w:lineRule="auto"/>
        <w:ind w:left="839"/>
        <w:jc w:val="both"/>
        <w:rPr>
          <w:rFonts w:hint="default" w:ascii="Times New Roman" w:hAnsi="Times New Roman"/>
          <w:i/>
          <w:iCs/>
          <w:sz w:val="20"/>
          <w:szCs w:val="20"/>
          <w:lang w:val="en-GB" w:eastAsia="zh-CN"/>
        </w:rPr>
      </w:pPr>
      <w:r>
        <w:rPr>
          <w:rFonts w:hint="default" w:ascii="Times New Roman" w:hAnsi="Times New Roman"/>
          <w:i/>
          <w:iCs/>
          <w:sz w:val="20"/>
          <w:szCs w:val="20"/>
          <w:lang w:val="en-GB" w:eastAsia="zh-CN"/>
        </w:rPr>
        <w:t>Otherwise, both TCI states can be applied for the CSS reception, i.e. SFN manner</w:t>
      </w:r>
    </w:p>
    <w:p>
      <w:pPr>
        <w:numPr>
          <w:ilvl w:val="255"/>
          <w:numId w:val="0"/>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
          <w:iCs/>
          <w:sz w:val="20"/>
          <w:szCs w:val="20"/>
        </w:rPr>
        <w:t>Proposal 11:</w:t>
      </w:r>
      <w:r>
        <w:rPr>
          <w:rFonts w:ascii="Times New Roman" w:hAnsi="Times New Roman"/>
          <w:b/>
          <w:bCs/>
          <w:i/>
          <w:iCs/>
          <w:sz w:val="20"/>
          <w:szCs w:val="20"/>
        </w:rPr>
        <w:t xml:space="preserve"> </w:t>
      </w:r>
      <w:r>
        <w:rPr>
          <w:rFonts w:ascii="Times New Roman" w:hAnsi="Times New Roman"/>
          <w:bCs/>
          <w:i/>
          <w:iCs/>
          <w:sz w:val="20"/>
          <w:szCs w:val="20"/>
        </w:rPr>
        <w:t>For</w:t>
      </w:r>
      <w:r>
        <w:rPr>
          <w:rFonts w:hint="eastAsia" w:ascii="Times New Roman" w:hAnsi="Times New Roman"/>
          <w:bCs/>
          <w:i/>
          <w:iCs/>
          <w:sz w:val="20"/>
          <w:szCs w:val="20"/>
        </w:rPr>
        <w:t xml:space="preserve"> </w:t>
      </w:r>
      <w:r>
        <w:rPr>
          <w:rFonts w:ascii="Times New Roman" w:hAnsi="Times New Roman"/>
          <w:bCs/>
          <w:i/>
          <w:iCs/>
          <w:sz w:val="20"/>
          <w:szCs w:val="20"/>
        </w:rPr>
        <w:t>TRP</w:t>
      </w:r>
      <w:r>
        <w:rPr>
          <w:rFonts w:hint="eastAsia" w:ascii="Times New Roman" w:hAnsi="Times New Roman"/>
          <w:bCs/>
          <w:i/>
          <w:iCs/>
          <w:sz w:val="20"/>
          <w:szCs w:val="20"/>
        </w:rPr>
        <w:t>-based</w:t>
      </w:r>
      <w:r>
        <w:rPr>
          <w:rFonts w:ascii="Times New Roman" w:hAnsi="Times New Roman"/>
          <w:bCs/>
          <w:i/>
          <w:iCs/>
          <w:sz w:val="20"/>
          <w:szCs w:val="20"/>
        </w:rPr>
        <w:t xml:space="preserve"> pre-compensation</w:t>
      </w:r>
      <w:r>
        <w:rPr>
          <w:rFonts w:ascii="Times New Roman" w:hAnsi="Times New Roman"/>
          <w:i/>
          <w:iCs/>
          <w:sz w:val="20"/>
          <w:szCs w:val="20"/>
        </w:rPr>
        <w:t xml:space="preserve">, SRS </w:t>
      </w:r>
      <w:r>
        <w:rPr>
          <w:rFonts w:hint="eastAsia" w:ascii="Times New Roman" w:hAnsi="Times New Roman"/>
          <w:i/>
          <w:iCs/>
          <w:sz w:val="20"/>
          <w:szCs w:val="20"/>
        </w:rPr>
        <w:t>enhancements to improve the accuracy of frequency offset estimation is not supported.</w:t>
      </w:r>
    </w:p>
    <w:p>
      <w:pPr>
        <w:pStyle w:val="2"/>
        <w:snapToGrid w:val="0"/>
        <w:spacing w:before="180" w:beforeLines="50" w:after="180" w:afterLines="50"/>
        <w:ind w:left="431" w:hanging="431"/>
        <w:rPr>
          <w:lang w:val="en-US"/>
        </w:rPr>
      </w:pPr>
      <w:r>
        <w:rPr>
          <w:rFonts w:hint="eastAsia"/>
          <w:lang w:val="en-US"/>
        </w:rPr>
        <w:t>References</w:t>
      </w:r>
    </w:p>
    <w:bookmarkEnd w:id="17"/>
    <w:bookmarkEnd w:id="18"/>
    <w:p>
      <w:pPr>
        <w:pStyle w:val="88"/>
        <w:numPr>
          <w:ilvl w:val="0"/>
          <w:numId w:val="17"/>
        </w:numPr>
        <w:snapToGrid w:val="0"/>
        <w:rPr>
          <w:sz w:val="20"/>
          <w:szCs w:val="20"/>
          <w:lang w:val="en-GB"/>
        </w:rPr>
      </w:pPr>
      <w:r>
        <w:rPr>
          <w:rFonts w:hint="eastAsia"/>
          <w:sz w:val="20"/>
          <w:szCs w:val="20"/>
        </w:rPr>
        <w:t>RP-193133, WID proposal FeMIMO, Samsung</w:t>
      </w:r>
    </w:p>
    <w:p>
      <w:pPr>
        <w:pStyle w:val="88"/>
        <w:numPr>
          <w:ilvl w:val="0"/>
          <w:numId w:val="17"/>
        </w:numPr>
        <w:snapToGrid w:val="0"/>
        <w:rPr>
          <w:sz w:val="20"/>
          <w:szCs w:val="20"/>
          <w:lang w:val="en-GB"/>
        </w:rPr>
      </w:pPr>
      <w:r>
        <w:rPr>
          <w:rFonts w:hint="eastAsia"/>
          <w:sz w:val="20"/>
          <w:szCs w:val="20"/>
          <w:lang w:val="en-GB"/>
        </w:rPr>
        <w:t>Chair's Notes RAN1#10</w:t>
      </w:r>
      <w:r>
        <w:rPr>
          <w:rFonts w:hint="eastAsia"/>
          <w:sz w:val="20"/>
          <w:szCs w:val="20"/>
        </w:rPr>
        <w:t>6bis</w:t>
      </w:r>
      <w:r>
        <w:rPr>
          <w:rFonts w:hint="eastAsia"/>
          <w:sz w:val="20"/>
          <w:szCs w:val="20"/>
          <w:lang w:val="en-GB"/>
        </w:rPr>
        <w:t xml:space="preserve">-e </w:t>
      </w:r>
      <w:r>
        <w:rPr>
          <w:rFonts w:hint="eastAsia"/>
          <w:sz w:val="20"/>
          <w:szCs w:val="20"/>
        </w:rPr>
        <w:t xml:space="preserve">v19, </w:t>
      </w:r>
      <w:bookmarkStart w:id="20" w:name="OLE_LINK9"/>
      <w:r>
        <w:rPr>
          <w:rFonts w:hint="eastAsia"/>
          <w:sz w:val="20"/>
          <w:szCs w:val="20"/>
        </w:rPr>
        <w:t>October 11</w:t>
      </w:r>
      <w:r>
        <w:rPr>
          <w:rFonts w:hint="eastAsia"/>
          <w:sz w:val="20"/>
          <w:szCs w:val="20"/>
          <w:vertAlign w:val="superscript"/>
        </w:rPr>
        <w:t>th</w:t>
      </w:r>
      <w:r>
        <w:rPr>
          <w:rFonts w:hint="eastAsia"/>
          <w:sz w:val="20"/>
          <w:szCs w:val="20"/>
        </w:rPr>
        <w:t>-29</w:t>
      </w:r>
      <w:r>
        <w:rPr>
          <w:rFonts w:hint="eastAsia"/>
          <w:sz w:val="20"/>
          <w:szCs w:val="20"/>
          <w:vertAlign w:val="superscript"/>
        </w:rPr>
        <w:t>th</w:t>
      </w:r>
      <w:r>
        <w:rPr>
          <w:rFonts w:hint="eastAsia"/>
          <w:sz w:val="20"/>
          <w:szCs w:val="20"/>
        </w:rPr>
        <w:t>, 2021,</w:t>
      </w:r>
      <w:bookmarkEnd w:id="20"/>
      <w:r>
        <w:rPr>
          <w:rFonts w:hint="eastAsia"/>
          <w:sz w:val="20"/>
          <w:szCs w:val="20"/>
        </w:rPr>
        <w:t>3GPP</w:t>
      </w:r>
    </w:p>
    <w:p>
      <w:pPr>
        <w:pStyle w:val="88"/>
        <w:numPr>
          <w:ilvl w:val="0"/>
          <w:numId w:val="17"/>
        </w:numPr>
        <w:snapToGrid w:val="0"/>
        <w:rPr>
          <w:sz w:val="20"/>
          <w:szCs w:val="20"/>
        </w:rPr>
      </w:pPr>
      <w:r>
        <w:rPr>
          <w:rFonts w:hint="eastAsia"/>
          <w:sz w:val="20"/>
          <w:szCs w:val="20"/>
        </w:rPr>
        <w:t xml:space="preserve">R1-2110548, </w:t>
      </w:r>
      <w:r>
        <w:rPr>
          <w:rFonts w:hint="eastAsia"/>
          <w:sz w:val="20"/>
          <w:szCs w:val="20"/>
          <w:lang w:eastAsia="ko-KR"/>
        </w:rPr>
        <w:t>Summary#1 of AI: 8.1.2.4 Enhancements on HST-SFN deployment</w:t>
      </w:r>
      <w:r>
        <w:rPr>
          <w:rFonts w:hint="eastAsia"/>
          <w:sz w:val="20"/>
          <w:szCs w:val="20"/>
        </w:rPr>
        <w:t>, October 11</w:t>
      </w:r>
      <w:r>
        <w:rPr>
          <w:rFonts w:hint="eastAsia"/>
          <w:sz w:val="20"/>
          <w:szCs w:val="20"/>
          <w:vertAlign w:val="superscript"/>
        </w:rPr>
        <w:t>th</w:t>
      </w:r>
      <w:r>
        <w:rPr>
          <w:rFonts w:hint="eastAsia"/>
          <w:sz w:val="20"/>
          <w:szCs w:val="20"/>
        </w:rPr>
        <w:t>-29</w:t>
      </w:r>
      <w:r>
        <w:rPr>
          <w:rFonts w:hint="eastAsia"/>
          <w:sz w:val="20"/>
          <w:szCs w:val="20"/>
          <w:vertAlign w:val="superscript"/>
        </w:rPr>
        <w:t>th</w:t>
      </w:r>
      <w:r>
        <w:rPr>
          <w:rFonts w:hint="eastAsia"/>
          <w:sz w:val="20"/>
          <w:szCs w:val="20"/>
        </w:rPr>
        <w:t>, 2021, Moderator</w:t>
      </w:r>
    </w:p>
    <w:p>
      <w:pPr>
        <w:pStyle w:val="88"/>
        <w:snapToGrid w:val="0"/>
        <w:rPr>
          <w:sz w:val="20"/>
          <w:szCs w:val="20"/>
          <w:lang w:val="en-GB"/>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88"/>
        <w:snapToGrid w:val="0"/>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panose1 w:val="020B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03E09"/>
    <w:multiLevelType w:val="multilevel"/>
    <w:tmpl w:val="AFC03E0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039219C2"/>
    <w:multiLevelType w:val="multilevel"/>
    <w:tmpl w:val="039219C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Arial" w:hAnsi="Arial" w:eastAsia="宋体" w:cs="宋体"/>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24102EE9"/>
    <w:multiLevelType w:val="multilevel"/>
    <w:tmpl w:val="24102EE9"/>
    <w:lvl w:ilvl="0" w:tentative="0">
      <w:start w:val="2"/>
      <w:numFmt w:val="bullet"/>
      <w:lvlText w:val="-"/>
      <w:lvlJc w:val="left"/>
      <w:pPr>
        <w:ind w:left="720" w:hanging="360"/>
      </w:pPr>
      <w:rPr>
        <w:rFonts w:hint="default" w:ascii="Times New Roman" w:hAnsi="Times New Roman" w:eastAsia="微软雅黑" w:cs="Times New Roman"/>
      </w:rPr>
    </w:lvl>
    <w:lvl w:ilvl="1" w:tentative="0">
      <w:start w:val="1"/>
      <w:numFmt w:val="bullet"/>
      <w:lvlText w:val=""/>
      <w:lvlJc w:val="left"/>
      <w:pPr>
        <w:ind w:left="1200" w:hanging="420"/>
      </w:pPr>
      <w:rPr>
        <w:rFonts w:hint="default" w:ascii="Wingdings" w:hAnsi="Wingdings"/>
        <w:sz w:val="16"/>
        <w:szCs w:val="16"/>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7">
    <w:nsid w:val="2BD666FE"/>
    <w:multiLevelType w:val="multilevel"/>
    <w:tmpl w:val="2BD666FE"/>
    <w:lvl w:ilvl="0" w:tentative="0">
      <w:start w:val="1"/>
      <w:numFmt w:val="decimal"/>
      <w:lvlText w:val="%1."/>
      <w:lvlJc w:val="left"/>
      <w:pPr>
        <w:ind w:left="1080" w:hanging="360"/>
      </w:pPr>
      <w:rPr>
        <w:rFonts w:hint="default"/>
      </w:rPr>
    </w:lvl>
    <w:lvl w:ilvl="1" w:tentative="0">
      <w:start w:val="4"/>
      <w:numFmt w:val="lowerLetter"/>
      <w:lvlText w:val="%2."/>
      <w:lvlJc w:val="left"/>
      <w:pPr>
        <w:ind w:left="1800" w:hanging="360"/>
      </w:pPr>
      <w:rPr>
        <w:rFonts w:hint="eastAsia"/>
      </w:rPr>
    </w:lvl>
    <w:lvl w:ilvl="2" w:tentative="0">
      <w:start w:val="1"/>
      <w:numFmt w:val="lowerRoman"/>
      <w:lvlText w:val="%3."/>
      <w:lvlJc w:val="right"/>
      <w:pPr>
        <w:ind w:left="2520" w:hanging="180"/>
      </w:pPr>
      <w:rPr>
        <w:rFonts w:hint="eastAsia"/>
      </w:rPr>
    </w:lvl>
    <w:lvl w:ilvl="3" w:tentative="0">
      <w:start w:val="1"/>
      <w:numFmt w:val="decimal"/>
      <w:lvlText w:val="%4."/>
      <w:lvlJc w:val="left"/>
      <w:pPr>
        <w:ind w:left="3240" w:hanging="360"/>
      </w:pPr>
      <w:rPr>
        <w:rFonts w:hint="eastAsia"/>
      </w:rPr>
    </w:lvl>
    <w:lvl w:ilvl="4" w:tentative="0">
      <w:start w:val="1"/>
      <w:numFmt w:val="lowerLetter"/>
      <w:lvlText w:val="%5."/>
      <w:lvlJc w:val="left"/>
      <w:pPr>
        <w:ind w:left="3960" w:hanging="360"/>
      </w:pPr>
      <w:rPr>
        <w:rFonts w:hint="eastAsia"/>
      </w:rPr>
    </w:lvl>
    <w:lvl w:ilvl="5" w:tentative="0">
      <w:start w:val="1"/>
      <w:numFmt w:val="lowerRoman"/>
      <w:lvlText w:val="%6."/>
      <w:lvlJc w:val="right"/>
      <w:pPr>
        <w:ind w:left="4680" w:hanging="180"/>
      </w:pPr>
      <w:rPr>
        <w:rFonts w:hint="eastAsia"/>
      </w:rPr>
    </w:lvl>
    <w:lvl w:ilvl="6" w:tentative="0">
      <w:start w:val="1"/>
      <w:numFmt w:val="decimal"/>
      <w:lvlText w:val="%7."/>
      <w:lvlJc w:val="left"/>
      <w:pPr>
        <w:ind w:left="5400" w:hanging="360"/>
      </w:pPr>
      <w:rPr>
        <w:rFonts w:hint="eastAsia"/>
      </w:rPr>
    </w:lvl>
    <w:lvl w:ilvl="7" w:tentative="0">
      <w:start w:val="1"/>
      <w:numFmt w:val="lowerLetter"/>
      <w:lvlText w:val="%8."/>
      <w:lvlJc w:val="left"/>
      <w:pPr>
        <w:ind w:left="6120" w:hanging="360"/>
      </w:pPr>
      <w:rPr>
        <w:rFonts w:hint="eastAsia"/>
      </w:rPr>
    </w:lvl>
    <w:lvl w:ilvl="8" w:tentative="0">
      <w:start w:val="1"/>
      <w:numFmt w:val="lowerRoman"/>
      <w:lvlText w:val="%9."/>
      <w:lvlJc w:val="right"/>
      <w:pPr>
        <w:ind w:left="6840" w:hanging="180"/>
      </w:pPr>
      <w:rPr>
        <w:rFonts w:hint="eastAsia"/>
      </w:rPr>
    </w:lvl>
  </w:abstractNum>
  <w:abstractNum w:abstractNumId="8">
    <w:nsid w:val="3CB0688C"/>
    <w:multiLevelType w:val="multilevel"/>
    <w:tmpl w:val="3CB0688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0">
    <w:nsid w:val="4AE9BB85"/>
    <w:multiLevelType w:val="singleLevel"/>
    <w:tmpl w:val="4AE9BB85"/>
    <w:lvl w:ilvl="0" w:tentative="0">
      <w:start w:val="1"/>
      <w:numFmt w:val="bullet"/>
      <w:lvlText w:val=""/>
      <w:lvlJc w:val="left"/>
      <w:pPr>
        <w:tabs>
          <w:tab w:val="left" w:pos="420"/>
        </w:tabs>
        <w:ind w:left="840" w:hanging="420"/>
      </w:pPr>
      <w:rPr>
        <w:rFonts w:hint="default" w:ascii="Wingdings" w:hAnsi="Wingdings"/>
      </w:rPr>
    </w:lvl>
  </w:abstractNum>
  <w:abstractNum w:abstractNumId="11">
    <w:nsid w:val="4C48279B"/>
    <w:multiLevelType w:val="multilevel"/>
    <w:tmpl w:val="4C48279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4D5C00B7"/>
    <w:multiLevelType w:val="multilevel"/>
    <w:tmpl w:val="4D5C00B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509F23BD"/>
    <w:multiLevelType w:val="multilevel"/>
    <w:tmpl w:val="509F23B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53CC03BF"/>
    <w:multiLevelType w:val="multilevel"/>
    <w:tmpl w:val="53CC03B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55B7AFAF"/>
    <w:multiLevelType w:val="singleLevel"/>
    <w:tmpl w:val="55B7AFAF"/>
    <w:lvl w:ilvl="0" w:tentative="0">
      <w:start w:val="1"/>
      <w:numFmt w:val="bullet"/>
      <w:lvlText w:val=""/>
      <w:lvlJc w:val="left"/>
      <w:pPr>
        <w:tabs>
          <w:tab w:val="left" w:pos="420"/>
        </w:tabs>
        <w:ind w:left="840" w:hanging="420"/>
      </w:pPr>
      <w:rPr>
        <w:rFonts w:hint="default" w:ascii="Wingdings" w:hAnsi="Wingdings"/>
      </w:rPr>
    </w:lvl>
  </w:abstractNum>
  <w:abstractNum w:abstractNumId="16">
    <w:nsid w:val="6FAA2EB1"/>
    <w:multiLevelType w:val="multilevel"/>
    <w:tmpl w:val="6FAA2EB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
  </w:num>
  <w:num w:numId="2">
    <w:abstractNumId w:val="9"/>
  </w:num>
  <w:num w:numId="3">
    <w:abstractNumId w:val="7"/>
  </w:num>
  <w:num w:numId="4">
    <w:abstractNumId w:val="5"/>
  </w:num>
  <w:num w:numId="5">
    <w:abstractNumId w:val="4"/>
  </w:num>
  <w:num w:numId="6">
    <w:abstractNumId w:val="0"/>
  </w:num>
  <w:num w:numId="7">
    <w:abstractNumId w:val="16"/>
  </w:num>
  <w:num w:numId="8">
    <w:abstractNumId w:val="10"/>
  </w:num>
  <w:num w:numId="9">
    <w:abstractNumId w:val="8"/>
  </w:num>
  <w:num w:numId="10">
    <w:abstractNumId w:val="14"/>
  </w:num>
  <w:num w:numId="11">
    <w:abstractNumId w:val="3"/>
  </w:num>
  <w:num w:numId="12">
    <w:abstractNumId w:val="12"/>
  </w:num>
  <w:num w:numId="13">
    <w:abstractNumId w:val="11"/>
  </w:num>
  <w:num w:numId="14">
    <w:abstractNumId w:val="13"/>
  </w:num>
  <w:num w:numId="15">
    <w:abstractNumId w:val="6"/>
  </w:num>
  <w:num w:numId="16">
    <w:abstractNumId w:val="1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55A2F"/>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E00810"/>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BF0371"/>
    <w:rsid w:val="03C5452E"/>
    <w:rsid w:val="03C74561"/>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5D5638"/>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C40A6"/>
    <w:rsid w:val="04AD4B8B"/>
    <w:rsid w:val="04AD6D76"/>
    <w:rsid w:val="04B471D7"/>
    <w:rsid w:val="04B52053"/>
    <w:rsid w:val="04B6096F"/>
    <w:rsid w:val="04B70BE9"/>
    <w:rsid w:val="04B7478B"/>
    <w:rsid w:val="04BE27CE"/>
    <w:rsid w:val="04BF64DB"/>
    <w:rsid w:val="04C33D85"/>
    <w:rsid w:val="04C3481C"/>
    <w:rsid w:val="04C40B72"/>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6321E"/>
    <w:rsid w:val="05E80906"/>
    <w:rsid w:val="05EB44AF"/>
    <w:rsid w:val="05EF38C1"/>
    <w:rsid w:val="05F04C76"/>
    <w:rsid w:val="05F23FCE"/>
    <w:rsid w:val="05F4677F"/>
    <w:rsid w:val="05FC1F8D"/>
    <w:rsid w:val="06021705"/>
    <w:rsid w:val="06030997"/>
    <w:rsid w:val="0607348B"/>
    <w:rsid w:val="06074A5B"/>
    <w:rsid w:val="06087B12"/>
    <w:rsid w:val="06094354"/>
    <w:rsid w:val="060A1D09"/>
    <w:rsid w:val="060A546B"/>
    <w:rsid w:val="060A57DB"/>
    <w:rsid w:val="060B07BE"/>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A0082"/>
    <w:rsid w:val="067C70F8"/>
    <w:rsid w:val="067E49F6"/>
    <w:rsid w:val="067F3FA8"/>
    <w:rsid w:val="068F2552"/>
    <w:rsid w:val="069142D7"/>
    <w:rsid w:val="069154D1"/>
    <w:rsid w:val="069202AE"/>
    <w:rsid w:val="06973A22"/>
    <w:rsid w:val="069A134E"/>
    <w:rsid w:val="069C340F"/>
    <w:rsid w:val="069D55D6"/>
    <w:rsid w:val="069F7B0E"/>
    <w:rsid w:val="06A12BB8"/>
    <w:rsid w:val="06A354BF"/>
    <w:rsid w:val="06A52641"/>
    <w:rsid w:val="06A56623"/>
    <w:rsid w:val="06A6028D"/>
    <w:rsid w:val="06A67127"/>
    <w:rsid w:val="06A6721A"/>
    <w:rsid w:val="06A903D1"/>
    <w:rsid w:val="06AB7BCF"/>
    <w:rsid w:val="06AF2646"/>
    <w:rsid w:val="06B0095A"/>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65E04"/>
    <w:rsid w:val="074D0D08"/>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963CE1"/>
    <w:rsid w:val="07996370"/>
    <w:rsid w:val="079B1264"/>
    <w:rsid w:val="079D08EF"/>
    <w:rsid w:val="07A23DBE"/>
    <w:rsid w:val="07A51428"/>
    <w:rsid w:val="07A5163C"/>
    <w:rsid w:val="07A64C98"/>
    <w:rsid w:val="07A71476"/>
    <w:rsid w:val="07A94019"/>
    <w:rsid w:val="07AB3A30"/>
    <w:rsid w:val="07AC48F6"/>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4555"/>
    <w:rsid w:val="08B37BFE"/>
    <w:rsid w:val="08B97EF6"/>
    <w:rsid w:val="08BC0E13"/>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53391"/>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336891"/>
    <w:rsid w:val="093677EB"/>
    <w:rsid w:val="093949AD"/>
    <w:rsid w:val="093A5A26"/>
    <w:rsid w:val="093B5A8B"/>
    <w:rsid w:val="093D0096"/>
    <w:rsid w:val="093D5FDF"/>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53D7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9208F"/>
    <w:rsid w:val="0ADF3568"/>
    <w:rsid w:val="0AE0396D"/>
    <w:rsid w:val="0AE17B6E"/>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A6A06"/>
    <w:rsid w:val="0B8B3A3B"/>
    <w:rsid w:val="0BA158F6"/>
    <w:rsid w:val="0BA37183"/>
    <w:rsid w:val="0BA4413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D2660"/>
    <w:rsid w:val="0C4E63B2"/>
    <w:rsid w:val="0C551CE8"/>
    <w:rsid w:val="0C5577F1"/>
    <w:rsid w:val="0C574E9F"/>
    <w:rsid w:val="0C594881"/>
    <w:rsid w:val="0C596C01"/>
    <w:rsid w:val="0C5A384D"/>
    <w:rsid w:val="0C5A7381"/>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97DF3"/>
    <w:rsid w:val="0D2B3E52"/>
    <w:rsid w:val="0D2C6BEA"/>
    <w:rsid w:val="0D2C779E"/>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54C80"/>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44E15"/>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0FFF1E40"/>
    <w:rsid w:val="100175BA"/>
    <w:rsid w:val="1002491E"/>
    <w:rsid w:val="10051154"/>
    <w:rsid w:val="1006116B"/>
    <w:rsid w:val="10082347"/>
    <w:rsid w:val="100B3118"/>
    <w:rsid w:val="100C62B7"/>
    <w:rsid w:val="100D77C9"/>
    <w:rsid w:val="100E368A"/>
    <w:rsid w:val="100F5ECF"/>
    <w:rsid w:val="10107999"/>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C493E"/>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3409D"/>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46AC"/>
    <w:rsid w:val="10F11BFF"/>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7E4B"/>
    <w:rsid w:val="114A19F5"/>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5D36C3"/>
    <w:rsid w:val="1363772A"/>
    <w:rsid w:val="13645B2A"/>
    <w:rsid w:val="13646D5E"/>
    <w:rsid w:val="13667089"/>
    <w:rsid w:val="13691B25"/>
    <w:rsid w:val="1382119A"/>
    <w:rsid w:val="13834E54"/>
    <w:rsid w:val="138C3BB4"/>
    <w:rsid w:val="138D1B3C"/>
    <w:rsid w:val="138E21E8"/>
    <w:rsid w:val="138F1AA2"/>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06043"/>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4AF8"/>
    <w:rsid w:val="142E1718"/>
    <w:rsid w:val="14321BD7"/>
    <w:rsid w:val="143533E9"/>
    <w:rsid w:val="14353A7B"/>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21257"/>
    <w:rsid w:val="14A5629F"/>
    <w:rsid w:val="14AD5664"/>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9226A"/>
    <w:rsid w:val="152F620B"/>
    <w:rsid w:val="153868CE"/>
    <w:rsid w:val="15387A07"/>
    <w:rsid w:val="153A5FE7"/>
    <w:rsid w:val="153C1F3A"/>
    <w:rsid w:val="153D0A90"/>
    <w:rsid w:val="153D638E"/>
    <w:rsid w:val="153E4B6C"/>
    <w:rsid w:val="15413E16"/>
    <w:rsid w:val="15422CD4"/>
    <w:rsid w:val="15424AED"/>
    <w:rsid w:val="15494BB0"/>
    <w:rsid w:val="154A5317"/>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F2443"/>
    <w:rsid w:val="15FF4438"/>
    <w:rsid w:val="16025032"/>
    <w:rsid w:val="160301A1"/>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92917"/>
    <w:rsid w:val="18FA727E"/>
    <w:rsid w:val="18FA7D3B"/>
    <w:rsid w:val="18FC5F40"/>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B0EFE"/>
    <w:rsid w:val="19CD6271"/>
    <w:rsid w:val="19D03B31"/>
    <w:rsid w:val="19D83EBC"/>
    <w:rsid w:val="19DC2EF0"/>
    <w:rsid w:val="19E01BE1"/>
    <w:rsid w:val="19E27436"/>
    <w:rsid w:val="19E73070"/>
    <w:rsid w:val="19E90F2D"/>
    <w:rsid w:val="19EA250B"/>
    <w:rsid w:val="19ED7B68"/>
    <w:rsid w:val="19EE122F"/>
    <w:rsid w:val="19EE54F7"/>
    <w:rsid w:val="19EF05E2"/>
    <w:rsid w:val="19F057EC"/>
    <w:rsid w:val="19F34D9A"/>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76BE"/>
    <w:rsid w:val="1A3D274F"/>
    <w:rsid w:val="1A3F4787"/>
    <w:rsid w:val="1A4243B2"/>
    <w:rsid w:val="1A4351F7"/>
    <w:rsid w:val="1A435BC2"/>
    <w:rsid w:val="1A4634DE"/>
    <w:rsid w:val="1A477904"/>
    <w:rsid w:val="1A4D3567"/>
    <w:rsid w:val="1A5576E1"/>
    <w:rsid w:val="1A574E8B"/>
    <w:rsid w:val="1A5B332D"/>
    <w:rsid w:val="1A5D418F"/>
    <w:rsid w:val="1A5E1696"/>
    <w:rsid w:val="1A605DAC"/>
    <w:rsid w:val="1A611FA3"/>
    <w:rsid w:val="1A644E8B"/>
    <w:rsid w:val="1A6670AF"/>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B49C5"/>
    <w:rsid w:val="1A8D6D49"/>
    <w:rsid w:val="1A8F4F1E"/>
    <w:rsid w:val="1A901FBE"/>
    <w:rsid w:val="1A904E3C"/>
    <w:rsid w:val="1A907D69"/>
    <w:rsid w:val="1A981D7B"/>
    <w:rsid w:val="1A991640"/>
    <w:rsid w:val="1A9C1ED4"/>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D7490"/>
    <w:rsid w:val="1B3F232C"/>
    <w:rsid w:val="1B40255A"/>
    <w:rsid w:val="1B421FCA"/>
    <w:rsid w:val="1B435435"/>
    <w:rsid w:val="1B487E3D"/>
    <w:rsid w:val="1B5244B6"/>
    <w:rsid w:val="1B527FB6"/>
    <w:rsid w:val="1B55429F"/>
    <w:rsid w:val="1B5C4B10"/>
    <w:rsid w:val="1B5F774C"/>
    <w:rsid w:val="1B623C43"/>
    <w:rsid w:val="1B6661AC"/>
    <w:rsid w:val="1B6D3289"/>
    <w:rsid w:val="1B6F310C"/>
    <w:rsid w:val="1B71108F"/>
    <w:rsid w:val="1B7D6CAD"/>
    <w:rsid w:val="1B7E0DF5"/>
    <w:rsid w:val="1B7E34BD"/>
    <w:rsid w:val="1B8046D7"/>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84ED0"/>
    <w:rsid w:val="1CBC1FFD"/>
    <w:rsid w:val="1CBD037E"/>
    <w:rsid w:val="1CC22612"/>
    <w:rsid w:val="1CC448CE"/>
    <w:rsid w:val="1CCB2C88"/>
    <w:rsid w:val="1CCE31C9"/>
    <w:rsid w:val="1CD16FC7"/>
    <w:rsid w:val="1CD46190"/>
    <w:rsid w:val="1CD70F2F"/>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E65B8"/>
    <w:rsid w:val="1D1F0A85"/>
    <w:rsid w:val="1D1F5E42"/>
    <w:rsid w:val="1D210A77"/>
    <w:rsid w:val="1D222A1E"/>
    <w:rsid w:val="1D24539A"/>
    <w:rsid w:val="1D2939BE"/>
    <w:rsid w:val="1D2B0F93"/>
    <w:rsid w:val="1D2C04D0"/>
    <w:rsid w:val="1D2E65D9"/>
    <w:rsid w:val="1D2E7C7B"/>
    <w:rsid w:val="1D302600"/>
    <w:rsid w:val="1D302980"/>
    <w:rsid w:val="1D315EEC"/>
    <w:rsid w:val="1D316B5C"/>
    <w:rsid w:val="1D320508"/>
    <w:rsid w:val="1D322284"/>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95E1B"/>
    <w:rsid w:val="1DE071F3"/>
    <w:rsid w:val="1DE25A01"/>
    <w:rsid w:val="1DE75947"/>
    <w:rsid w:val="1DE83579"/>
    <w:rsid w:val="1DED220F"/>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32EEE"/>
    <w:rsid w:val="1E167FA6"/>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33E6E"/>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D759C"/>
    <w:rsid w:val="1ECE1B03"/>
    <w:rsid w:val="1ECE723E"/>
    <w:rsid w:val="1ED47EAE"/>
    <w:rsid w:val="1ED55822"/>
    <w:rsid w:val="1EDA0262"/>
    <w:rsid w:val="1EE133D1"/>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42218"/>
    <w:rsid w:val="1F1A0620"/>
    <w:rsid w:val="1F1B3A11"/>
    <w:rsid w:val="1F2D7DE6"/>
    <w:rsid w:val="1F2E587C"/>
    <w:rsid w:val="1F302536"/>
    <w:rsid w:val="1F310F7D"/>
    <w:rsid w:val="1F370F08"/>
    <w:rsid w:val="1F3965C5"/>
    <w:rsid w:val="1F3F7CB8"/>
    <w:rsid w:val="1F436A7F"/>
    <w:rsid w:val="1F4377ED"/>
    <w:rsid w:val="1F4446D7"/>
    <w:rsid w:val="1F454DA9"/>
    <w:rsid w:val="1F45785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33875"/>
    <w:rsid w:val="1F864FF3"/>
    <w:rsid w:val="1F875566"/>
    <w:rsid w:val="1F8D205B"/>
    <w:rsid w:val="1F8E4E2E"/>
    <w:rsid w:val="1F927123"/>
    <w:rsid w:val="1F9A2894"/>
    <w:rsid w:val="1F9A4525"/>
    <w:rsid w:val="1F9A7DD3"/>
    <w:rsid w:val="1FA35CF7"/>
    <w:rsid w:val="1FA71D9E"/>
    <w:rsid w:val="1FAA54F7"/>
    <w:rsid w:val="1FB234B9"/>
    <w:rsid w:val="1FB506E2"/>
    <w:rsid w:val="1FB966AC"/>
    <w:rsid w:val="1FBB4F14"/>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D13ED"/>
    <w:rsid w:val="202E1138"/>
    <w:rsid w:val="202E7722"/>
    <w:rsid w:val="202F2A2E"/>
    <w:rsid w:val="20325E0C"/>
    <w:rsid w:val="2035501C"/>
    <w:rsid w:val="203971E9"/>
    <w:rsid w:val="203B3BA6"/>
    <w:rsid w:val="203D5472"/>
    <w:rsid w:val="203F1315"/>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41541"/>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80508"/>
    <w:rsid w:val="229E0F90"/>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A074D"/>
    <w:rsid w:val="245D17E8"/>
    <w:rsid w:val="245E4A07"/>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03060"/>
    <w:rsid w:val="24962F88"/>
    <w:rsid w:val="24965CCD"/>
    <w:rsid w:val="24975BE5"/>
    <w:rsid w:val="24991F99"/>
    <w:rsid w:val="24992F68"/>
    <w:rsid w:val="249B5F35"/>
    <w:rsid w:val="249D6F0E"/>
    <w:rsid w:val="249F14E3"/>
    <w:rsid w:val="249F4CC6"/>
    <w:rsid w:val="24A03D43"/>
    <w:rsid w:val="24A15A48"/>
    <w:rsid w:val="24A40035"/>
    <w:rsid w:val="24AB13AF"/>
    <w:rsid w:val="24AB6028"/>
    <w:rsid w:val="24AF7583"/>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2EC9"/>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52DD1"/>
    <w:rsid w:val="25E62027"/>
    <w:rsid w:val="25E623BE"/>
    <w:rsid w:val="25E6527D"/>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64BED"/>
    <w:rsid w:val="2656623A"/>
    <w:rsid w:val="26576EEB"/>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13369"/>
    <w:rsid w:val="26D62980"/>
    <w:rsid w:val="26D82E82"/>
    <w:rsid w:val="26D9017F"/>
    <w:rsid w:val="26E45D21"/>
    <w:rsid w:val="26E85826"/>
    <w:rsid w:val="26EF797D"/>
    <w:rsid w:val="26F0116E"/>
    <w:rsid w:val="26F104CD"/>
    <w:rsid w:val="26FC3727"/>
    <w:rsid w:val="26FE5EF3"/>
    <w:rsid w:val="27007DB1"/>
    <w:rsid w:val="27023FD8"/>
    <w:rsid w:val="270268FC"/>
    <w:rsid w:val="27074420"/>
    <w:rsid w:val="270A184E"/>
    <w:rsid w:val="270B3BA8"/>
    <w:rsid w:val="27115F5E"/>
    <w:rsid w:val="27130CD0"/>
    <w:rsid w:val="271438F4"/>
    <w:rsid w:val="27146B11"/>
    <w:rsid w:val="27181BBE"/>
    <w:rsid w:val="272201E2"/>
    <w:rsid w:val="27236F61"/>
    <w:rsid w:val="2726557A"/>
    <w:rsid w:val="272A2343"/>
    <w:rsid w:val="273067C6"/>
    <w:rsid w:val="27321F5C"/>
    <w:rsid w:val="273C0919"/>
    <w:rsid w:val="273E15AB"/>
    <w:rsid w:val="274159F7"/>
    <w:rsid w:val="274507A3"/>
    <w:rsid w:val="27456AC6"/>
    <w:rsid w:val="27463BA7"/>
    <w:rsid w:val="27470345"/>
    <w:rsid w:val="27492EA8"/>
    <w:rsid w:val="274B09CE"/>
    <w:rsid w:val="275269EE"/>
    <w:rsid w:val="27576E44"/>
    <w:rsid w:val="276010D4"/>
    <w:rsid w:val="27614F78"/>
    <w:rsid w:val="27636FAC"/>
    <w:rsid w:val="27653B8D"/>
    <w:rsid w:val="276B0663"/>
    <w:rsid w:val="276C47FF"/>
    <w:rsid w:val="277130B1"/>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1B53AF"/>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08D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4AC1"/>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00B3D"/>
    <w:rsid w:val="29F21AFA"/>
    <w:rsid w:val="29F42421"/>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03D2"/>
    <w:rsid w:val="2AC31C45"/>
    <w:rsid w:val="2AC64A5F"/>
    <w:rsid w:val="2AC6739A"/>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BC2"/>
    <w:rsid w:val="2BAF6A9E"/>
    <w:rsid w:val="2BB259E6"/>
    <w:rsid w:val="2BB404F2"/>
    <w:rsid w:val="2BB45659"/>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5AB4"/>
    <w:rsid w:val="2C296900"/>
    <w:rsid w:val="2C2A1E40"/>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64625"/>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091F74"/>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EF1A65"/>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3E73B5"/>
    <w:rsid w:val="2E4A731A"/>
    <w:rsid w:val="2E5024D8"/>
    <w:rsid w:val="2E5C4F9B"/>
    <w:rsid w:val="2E605AE6"/>
    <w:rsid w:val="2E643BF9"/>
    <w:rsid w:val="2E660A34"/>
    <w:rsid w:val="2E680509"/>
    <w:rsid w:val="2E686180"/>
    <w:rsid w:val="2E6D2463"/>
    <w:rsid w:val="2E7043F3"/>
    <w:rsid w:val="2E725AB5"/>
    <w:rsid w:val="2E751D5C"/>
    <w:rsid w:val="2E8725F8"/>
    <w:rsid w:val="2E89270D"/>
    <w:rsid w:val="2E8D356C"/>
    <w:rsid w:val="2E9101F7"/>
    <w:rsid w:val="2E9326A8"/>
    <w:rsid w:val="2E9344BB"/>
    <w:rsid w:val="2E962627"/>
    <w:rsid w:val="2E973E43"/>
    <w:rsid w:val="2E9C1E7A"/>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6C6EFD"/>
    <w:rsid w:val="2F6E52E8"/>
    <w:rsid w:val="2F6F3F3F"/>
    <w:rsid w:val="2F725728"/>
    <w:rsid w:val="2F735266"/>
    <w:rsid w:val="2F761B45"/>
    <w:rsid w:val="2F776C59"/>
    <w:rsid w:val="2F781F3C"/>
    <w:rsid w:val="2F791891"/>
    <w:rsid w:val="2F7B0599"/>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002B3"/>
    <w:rsid w:val="3073547D"/>
    <w:rsid w:val="30736236"/>
    <w:rsid w:val="30762FEA"/>
    <w:rsid w:val="30781681"/>
    <w:rsid w:val="307A0395"/>
    <w:rsid w:val="307D2377"/>
    <w:rsid w:val="307E4267"/>
    <w:rsid w:val="3080592C"/>
    <w:rsid w:val="308140F8"/>
    <w:rsid w:val="30832CE2"/>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F113C7"/>
    <w:rsid w:val="30FA4CE6"/>
    <w:rsid w:val="30FC4EF7"/>
    <w:rsid w:val="310159DF"/>
    <w:rsid w:val="31032659"/>
    <w:rsid w:val="31081AAA"/>
    <w:rsid w:val="31091CED"/>
    <w:rsid w:val="310F24E7"/>
    <w:rsid w:val="31121EC6"/>
    <w:rsid w:val="31157243"/>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E471F"/>
    <w:rsid w:val="316F6E11"/>
    <w:rsid w:val="31723FFB"/>
    <w:rsid w:val="31725C00"/>
    <w:rsid w:val="317A104A"/>
    <w:rsid w:val="317F3FBE"/>
    <w:rsid w:val="31836A9D"/>
    <w:rsid w:val="31854832"/>
    <w:rsid w:val="31884274"/>
    <w:rsid w:val="31891BCF"/>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B0D1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03CF0"/>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16AB9"/>
    <w:rsid w:val="33120FD6"/>
    <w:rsid w:val="33164A63"/>
    <w:rsid w:val="331B364A"/>
    <w:rsid w:val="331E61AA"/>
    <w:rsid w:val="33201A19"/>
    <w:rsid w:val="33257307"/>
    <w:rsid w:val="333102EF"/>
    <w:rsid w:val="333702E1"/>
    <w:rsid w:val="333751D5"/>
    <w:rsid w:val="333A1999"/>
    <w:rsid w:val="33403AD0"/>
    <w:rsid w:val="3341052F"/>
    <w:rsid w:val="334324D3"/>
    <w:rsid w:val="33444774"/>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0087E"/>
    <w:rsid w:val="33C748AE"/>
    <w:rsid w:val="33C75909"/>
    <w:rsid w:val="33D02E46"/>
    <w:rsid w:val="33D53334"/>
    <w:rsid w:val="33DA5D7D"/>
    <w:rsid w:val="33DB47C4"/>
    <w:rsid w:val="33DE181D"/>
    <w:rsid w:val="33DF593B"/>
    <w:rsid w:val="33E261A6"/>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31782"/>
    <w:rsid w:val="34644217"/>
    <w:rsid w:val="3465029D"/>
    <w:rsid w:val="3466773F"/>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4A4"/>
    <w:rsid w:val="34CF701B"/>
    <w:rsid w:val="34D01EFF"/>
    <w:rsid w:val="34D665DD"/>
    <w:rsid w:val="34DB4F48"/>
    <w:rsid w:val="34DC68C6"/>
    <w:rsid w:val="34E509F2"/>
    <w:rsid w:val="34E86316"/>
    <w:rsid w:val="34E95C2F"/>
    <w:rsid w:val="34EA52C6"/>
    <w:rsid w:val="34EE3576"/>
    <w:rsid w:val="34F020FF"/>
    <w:rsid w:val="34F17EC9"/>
    <w:rsid w:val="34FA344D"/>
    <w:rsid w:val="34FF7FD7"/>
    <w:rsid w:val="35005469"/>
    <w:rsid w:val="35017F79"/>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D08D4"/>
    <w:rsid w:val="369E16D7"/>
    <w:rsid w:val="36A84891"/>
    <w:rsid w:val="36AA3FA9"/>
    <w:rsid w:val="36AD4152"/>
    <w:rsid w:val="36B15850"/>
    <w:rsid w:val="36B46738"/>
    <w:rsid w:val="36B969ED"/>
    <w:rsid w:val="36BE11DF"/>
    <w:rsid w:val="36BF09FB"/>
    <w:rsid w:val="36C276D2"/>
    <w:rsid w:val="36C35683"/>
    <w:rsid w:val="36D07C32"/>
    <w:rsid w:val="36D105F0"/>
    <w:rsid w:val="36D12A0A"/>
    <w:rsid w:val="36D53B5B"/>
    <w:rsid w:val="36D54D95"/>
    <w:rsid w:val="36DB016A"/>
    <w:rsid w:val="36DD3272"/>
    <w:rsid w:val="36E338B6"/>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C6CAA"/>
    <w:rsid w:val="3764024E"/>
    <w:rsid w:val="37673380"/>
    <w:rsid w:val="37692AA2"/>
    <w:rsid w:val="376936A3"/>
    <w:rsid w:val="376B0BB2"/>
    <w:rsid w:val="376B5BE2"/>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A24258"/>
    <w:rsid w:val="37A867E7"/>
    <w:rsid w:val="37AB5815"/>
    <w:rsid w:val="37AE3B96"/>
    <w:rsid w:val="37AE3FC6"/>
    <w:rsid w:val="37AE5261"/>
    <w:rsid w:val="37B05BE5"/>
    <w:rsid w:val="37B22D58"/>
    <w:rsid w:val="37B3204B"/>
    <w:rsid w:val="37B532ED"/>
    <w:rsid w:val="37B573A1"/>
    <w:rsid w:val="37B73AE2"/>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93905"/>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92D72"/>
    <w:rsid w:val="38AD0FB8"/>
    <w:rsid w:val="38AD4C0A"/>
    <w:rsid w:val="38B044CA"/>
    <w:rsid w:val="38B04511"/>
    <w:rsid w:val="38B46374"/>
    <w:rsid w:val="38B914DE"/>
    <w:rsid w:val="38BA5014"/>
    <w:rsid w:val="38BA672D"/>
    <w:rsid w:val="38BF75AA"/>
    <w:rsid w:val="38C05CF9"/>
    <w:rsid w:val="38C22308"/>
    <w:rsid w:val="38C31B7A"/>
    <w:rsid w:val="38C449E2"/>
    <w:rsid w:val="38C517E5"/>
    <w:rsid w:val="38CB30F4"/>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6D3A85"/>
    <w:rsid w:val="39727F06"/>
    <w:rsid w:val="39765E70"/>
    <w:rsid w:val="39770A5A"/>
    <w:rsid w:val="39771A07"/>
    <w:rsid w:val="39774BBD"/>
    <w:rsid w:val="397E51D4"/>
    <w:rsid w:val="397F069A"/>
    <w:rsid w:val="3984789F"/>
    <w:rsid w:val="39847EB1"/>
    <w:rsid w:val="398663A1"/>
    <w:rsid w:val="398704BB"/>
    <w:rsid w:val="39882427"/>
    <w:rsid w:val="398B605E"/>
    <w:rsid w:val="39916F0D"/>
    <w:rsid w:val="39926717"/>
    <w:rsid w:val="399812C8"/>
    <w:rsid w:val="399A4AA2"/>
    <w:rsid w:val="399E1C0B"/>
    <w:rsid w:val="399E7C1A"/>
    <w:rsid w:val="399F597C"/>
    <w:rsid w:val="39A21811"/>
    <w:rsid w:val="39A563F3"/>
    <w:rsid w:val="39AE4B31"/>
    <w:rsid w:val="39AE6303"/>
    <w:rsid w:val="39B261DB"/>
    <w:rsid w:val="39B857F7"/>
    <w:rsid w:val="39B90E5E"/>
    <w:rsid w:val="39BB3A94"/>
    <w:rsid w:val="39BF4E6C"/>
    <w:rsid w:val="39C10EC4"/>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74CEB"/>
    <w:rsid w:val="3A2B63E8"/>
    <w:rsid w:val="3A2C09D8"/>
    <w:rsid w:val="3A2C3BA6"/>
    <w:rsid w:val="3A2C57C2"/>
    <w:rsid w:val="3A2D0617"/>
    <w:rsid w:val="3A3539DC"/>
    <w:rsid w:val="3A39457D"/>
    <w:rsid w:val="3A394D5E"/>
    <w:rsid w:val="3A3D4D53"/>
    <w:rsid w:val="3A3F55B2"/>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70750"/>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B274A"/>
    <w:rsid w:val="3B8D0B94"/>
    <w:rsid w:val="3B8D3F60"/>
    <w:rsid w:val="3B90223A"/>
    <w:rsid w:val="3B9A055F"/>
    <w:rsid w:val="3B9C0A2C"/>
    <w:rsid w:val="3BA23EEE"/>
    <w:rsid w:val="3BA50C0C"/>
    <w:rsid w:val="3BA70120"/>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3263D"/>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36D9F"/>
    <w:rsid w:val="3C154938"/>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638D5"/>
    <w:rsid w:val="3C88070C"/>
    <w:rsid w:val="3C893553"/>
    <w:rsid w:val="3C8A5CF1"/>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D5705"/>
    <w:rsid w:val="3D2E57FB"/>
    <w:rsid w:val="3D310462"/>
    <w:rsid w:val="3D3256F4"/>
    <w:rsid w:val="3D344D4E"/>
    <w:rsid w:val="3D362CDD"/>
    <w:rsid w:val="3D3A74A4"/>
    <w:rsid w:val="3D3C4CF9"/>
    <w:rsid w:val="3D4206BE"/>
    <w:rsid w:val="3D433BE3"/>
    <w:rsid w:val="3D4410E3"/>
    <w:rsid w:val="3D45563E"/>
    <w:rsid w:val="3D4B622D"/>
    <w:rsid w:val="3D4F1820"/>
    <w:rsid w:val="3D505E2B"/>
    <w:rsid w:val="3D54620E"/>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413BA"/>
    <w:rsid w:val="3DE637C5"/>
    <w:rsid w:val="3DE64097"/>
    <w:rsid w:val="3DE643C6"/>
    <w:rsid w:val="3DE67BD3"/>
    <w:rsid w:val="3DE67F19"/>
    <w:rsid w:val="3DE87D71"/>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5512E"/>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250A3"/>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61856"/>
    <w:rsid w:val="3FAB5529"/>
    <w:rsid w:val="3FB32F4A"/>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7ED4"/>
    <w:rsid w:val="400F1A7E"/>
    <w:rsid w:val="4013650D"/>
    <w:rsid w:val="40166C8D"/>
    <w:rsid w:val="401E0B2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A0ADE"/>
    <w:rsid w:val="404B727B"/>
    <w:rsid w:val="4051638A"/>
    <w:rsid w:val="4053273E"/>
    <w:rsid w:val="40586B1A"/>
    <w:rsid w:val="40592F9A"/>
    <w:rsid w:val="405C46EC"/>
    <w:rsid w:val="40645970"/>
    <w:rsid w:val="406D6CD1"/>
    <w:rsid w:val="406E640F"/>
    <w:rsid w:val="40713C95"/>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DB542E"/>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720A4"/>
    <w:rsid w:val="41572D1B"/>
    <w:rsid w:val="41581AA2"/>
    <w:rsid w:val="4159014F"/>
    <w:rsid w:val="415917F4"/>
    <w:rsid w:val="41646B88"/>
    <w:rsid w:val="416A0B42"/>
    <w:rsid w:val="416A0C82"/>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DC5AD1"/>
    <w:rsid w:val="41E26577"/>
    <w:rsid w:val="41E76E0D"/>
    <w:rsid w:val="41EB650D"/>
    <w:rsid w:val="41F16692"/>
    <w:rsid w:val="41FA376E"/>
    <w:rsid w:val="41FD6A73"/>
    <w:rsid w:val="41FE6CB2"/>
    <w:rsid w:val="42032AFE"/>
    <w:rsid w:val="420556C8"/>
    <w:rsid w:val="42057535"/>
    <w:rsid w:val="420C1102"/>
    <w:rsid w:val="4214720F"/>
    <w:rsid w:val="4215698E"/>
    <w:rsid w:val="421576E7"/>
    <w:rsid w:val="4217488D"/>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97ED2"/>
    <w:rsid w:val="424A3927"/>
    <w:rsid w:val="424E09CD"/>
    <w:rsid w:val="424E515B"/>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6698"/>
    <w:rsid w:val="42E736DA"/>
    <w:rsid w:val="42E9081C"/>
    <w:rsid w:val="42EC2E29"/>
    <w:rsid w:val="42ED2458"/>
    <w:rsid w:val="42EF0CCD"/>
    <w:rsid w:val="42F1490F"/>
    <w:rsid w:val="42F25520"/>
    <w:rsid w:val="42F81BD3"/>
    <w:rsid w:val="42FA52E0"/>
    <w:rsid w:val="430A701A"/>
    <w:rsid w:val="430B23FA"/>
    <w:rsid w:val="430D0405"/>
    <w:rsid w:val="4312542E"/>
    <w:rsid w:val="431417E6"/>
    <w:rsid w:val="4318449F"/>
    <w:rsid w:val="431F7799"/>
    <w:rsid w:val="432009E1"/>
    <w:rsid w:val="43206F9C"/>
    <w:rsid w:val="43233D79"/>
    <w:rsid w:val="432958E1"/>
    <w:rsid w:val="432E62EC"/>
    <w:rsid w:val="43334F51"/>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BC5CCF"/>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B6A7B"/>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0C2B01"/>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B3947"/>
    <w:rsid w:val="46532B01"/>
    <w:rsid w:val="46540E4D"/>
    <w:rsid w:val="46584184"/>
    <w:rsid w:val="4661416D"/>
    <w:rsid w:val="46630636"/>
    <w:rsid w:val="4664264C"/>
    <w:rsid w:val="46665B82"/>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9F0CB5"/>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628A8"/>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6F23"/>
    <w:rsid w:val="484E0854"/>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B4B2D"/>
    <w:rsid w:val="489D4DCE"/>
    <w:rsid w:val="489E0A6C"/>
    <w:rsid w:val="48A260BC"/>
    <w:rsid w:val="48A330F7"/>
    <w:rsid w:val="48A5260C"/>
    <w:rsid w:val="48A6395B"/>
    <w:rsid w:val="48A74E36"/>
    <w:rsid w:val="48AD2CB1"/>
    <w:rsid w:val="48AD72C6"/>
    <w:rsid w:val="48AF3B8C"/>
    <w:rsid w:val="48B00A86"/>
    <w:rsid w:val="48B157CB"/>
    <w:rsid w:val="48B3188D"/>
    <w:rsid w:val="48B92E68"/>
    <w:rsid w:val="48BB392F"/>
    <w:rsid w:val="48BE1954"/>
    <w:rsid w:val="48BE3B16"/>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601E"/>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A2132"/>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E137C9"/>
    <w:rsid w:val="4AE964A0"/>
    <w:rsid w:val="4AEA606D"/>
    <w:rsid w:val="4AF157AF"/>
    <w:rsid w:val="4AF20166"/>
    <w:rsid w:val="4AF250F4"/>
    <w:rsid w:val="4AF30717"/>
    <w:rsid w:val="4AFA3F80"/>
    <w:rsid w:val="4B002C3A"/>
    <w:rsid w:val="4B026804"/>
    <w:rsid w:val="4B03068A"/>
    <w:rsid w:val="4B0346BA"/>
    <w:rsid w:val="4B04025E"/>
    <w:rsid w:val="4B045160"/>
    <w:rsid w:val="4B052A2F"/>
    <w:rsid w:val="4B055C00"/>
    <w:rsid w:val="4B0A2867"/>
    <w:rsid w:val="4B0C0DD8"/>
    <w:rsid w:val="4B122E05"/>
    <w:rsid w:val="4B135609"/>
    <w:rsid w:val="4B1606EF"/>
    <w:rsid w:val="4B1C67FA"/>
    <w:rsid w:val="4B1D2051"/>
    <w:rsid w:val="4B206A6B"/>
    <w:rsid w:val="4B297805"/>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736854"/>
    <w:rsid w:val="4B741C5B"/>
    <w:rsid w:val="4B7831B7"/>
    <w:rsid w:val="4B7B0348"/>
    <w:rsid w:val="4B811257"/>
    <w:rsid w:val="4B816D3B"/>
    <w:rsid w:val="4B821B36"/>
    <w:rsid w:val="4B827CCC"/>
    <w:rsid w:val="4B83233B"/>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9226D"/>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210FEA"/>
    <w:rsid w:val="4D243C2E"/>
    <w:rsid w:val="4D2455C8"/>
    <w:rsid w:val="4D2D3744"/>
    <w:rsid w:val="4D2D48CF"/>
    <w:rsid w:val="4D2D7483"/>
    <w:rsid w:val="4D2D7C2A"/>
    <w:rsid w:val="4D327C82"/>
    <w:rsid w:val="4D35524C"/>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E0D8B"/>
    <w:rsid w:val="4D5E313C"/>
    <w:rsid w:val="4D6046F9"/>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255B5C"/>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C140A"/>
    <w:rsid w:val="4E6C617F"/>
    <w:rsid w:val="4E6D099B"/>
    <w:rsid w:val="4E6D4DA7"/>
    <w:rsid w:val="4E7964A9"/>
    <w:rsid w:val="4E7D1F26"/>
    <w:rsid w:val="4E7F10F7"/>
    <w:rsid w:val="4E833A1C"/>
    <w:rsid w:val="4E8B5727"/>
    <w:rsid w:val="4E8D5B77"/>
    <w:rsid w:val="4E997FC2"/>
    <w:rsid w:val="4E9A16A3"/>
    <w:rsid w:val="4E9C36DC"/>
    <w:rsid w:val="4E9F5822"/>
    <w:rsid w:val="4E9F6EED"/>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966CE"/>
    <w:rsid w:val="4F1A0622"/>
    <w:rsid w:val="4F1E4099"/>
    <w:rsid w:val="4F1E74EE"/>
    <w:rsid w:val="4F222296"/>
    <w:rsid w:val="4F232152"/>
    <w:rsid w:val="4F247513"/>
    <w:rsid w:val="4F256656"/>
    <w:rsid w:val="4F312150"/>
    <w:rsid w:val="4F333DDA"/>
    <w:rsid w:val="4F363754"/>
    <w:rsid w:val="4F394923"/>
    <w:rsid w:val="4F3A030D"/>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5EE1"/>
    <w:rsid w:val="4FD27897"/>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3417D4"/>
    <w:rsid w:val="5034215C"/>
    <w:rsid w:val="50344279"/>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7D48CA"/>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6447F"/>
    <w:rsid w:val="515842D5"/>
    <w:rsid w:val="515934C1"/>
    <w:rsid w:val="51627F0D"/>
    <w:rsid w:val="516E206D"/>
    <w:rsid w:val="51741E6C"/>
    <w:rsid w:val="51756972"/>
    <w:rsid w:val="517A63F0"/>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2013C23"/>
    <w:rsid w:val="52022324"/>
    <w:rsid w:val="5205030D"/>
    <w:rsid w:val="520C3ABF"/>
    <w:rsid w:val="520D17A8"/>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7336B"/>
    <w:rsid w:val="52476405"/>
    <w:rsid w:val="524A5C68"/>
    <w:rsid w:val="524E0FB6"/>
    <w:rsid w:val="52532968"/>
    <w:rsid w:val="525401C2"/>
    <w:rsid w:val="52546140"/>
    <w:rsid w:val="52572361"/>
    <w:rsid w:val="525734A2"/>
    <w:rsid w:val="525D3774"/>
    <w:rsid w:val="525F3DCF"/>
    <w:rsid w:val="525F53B1"/>
    <w:rsid w:val="526913E6"/>
    <w:rsid w:val="527008EF"/>
    <w:rsid w:val="52734368"/>
    <w:rsid w:val="52836832"/>
    <w:rsid w:val="52843C38"/>
    <w:rsid w:val="52847FDA"/>
    <w:rsid w:val="528B7F58"/>
    <w:rsid w:val="528D6C4E"/>
    <w:rsid w:val="52983F10"/>
    <w:rsid w:val="52985187"/>
    <w:rsid w:val="529921F1"/>
    <w:rsid w:val="529A7E86"/>
    <w:rsid w:val="529F3A66"/>
    <w:rsid w:val="52A036C2"/>
    <w:rsid w:val="52A219C4"/>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2113"/>
    <w:rsid w:val="5381746B"/>
    <w:rsid w:val="538459BE"/>
    <w:rsid w:val="53893051"/>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1D180D"/>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C2441"/>
    <w:rsid w:val="545F158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60315"/>
    <w:rsid w:val="54AE07B7"/>
    <w:rsid w:val="54B86248"/>
    <w:rsid w:val="54BB1089"/>
    <w:rsid w:val="54C24B82"/>
    <w:rsid w:val="54C46F6D"/>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E0FDE"/>
    <w:rsid w:val="54FE7371"/>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7803"/>
    <w:rsid w:val="55516532"/>
    <w:rsid w:val="55540941"/>
    <w:rsid w:val="5556624F"/>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55069"/>
    <w:rsid w:val="55F56D0E"/>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27839"/>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87954"/>
    <w:rsid w:val="56BB18CA"/>
    <w:rsid w:val="56BE22AD"/>
    <w:rsid w:val="56BF1F76"/>
    <w:rsid w:val="56C0283E"/>
    <w:rsid w:val="56C05533"/>
    <w:rsid w:val="56C16A0C"/>
    <w:rsid w:val="56C61BEC"/>
    <w:rsid w:val="56D20BDD"/>
    <w:rsid w:val="56D418EA"/>
    <w:rsid w:val="56D43345"/>
    <w:rsid w:val="56D570ED"/>
    <w:rsid w:val="56E358E7"/>
    <w:rsid w:val="56E365E9"/>
    <w:rsid w:val="56EA585F"/>
    <w:rsid w:val="56EB338E"/>
    <w:rsid w:val="56EB4412"/>
    <w:rsid w:val="56F24EA1"/>
    <w:rsid w:val="56F418BC"/>
    <w:rsid w:val="56F9705F"/>
    <w:rsid w:val="57005E0B"/>
    <w:rsid w:val="5702176B"/>
    <w:rsid w:val="57024A7F"/>
    <w:rsid w:val="5708093B"/>
    <w:rsid w:val="57095AA8"/>
    <w:rsid w:val="570C2BE8"/>
    <w:rsid w:val="570D00B1"/>
    <w:rsid w:val="571203B4"/>
    <w:rsid w:val="571369AE"/>
    <w:rsid w:val="57212288"/>
    <w:rsid w:val="57236AD8"/>
    <w:rsid w:val="57273EC6"/>
    <w:rsid w:val="572E3DC7"/>
    <w:rsid w:val="57320543"/>
    <w:rsid w:val="57330C79"/>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3A8B"/>
    <w:rsid w:val="5A035174"/>
    <w:rsid w:val="5A061239"/>
    <w:rsid w:val="5A09550A"/>
    <w:rsid w:val="5A0A1F2D"/>
    <w:rsid w:val="5A16478D"/>
    <w:rsid w:val="5A181C1F"/>
    <w:rsid w:val="5A1867FB"/>
    <w:rsid w:val="5A1B55E1"/>
    <w:rsid w:val="5A1D7220"/>
    <w:rsid w:val="5A265B9B"/>
    <w:rsid w:val="5A2718A2"/>
    <w:rsid w:val="5A2F2E3C"/>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AF0085"/>
    <w:rsid w:val="5AB143A8"/>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7EE"/>
    <w:rsid w:val="5C185F94"/>
    <w:rsid w:val="5C192189"/>
    <w:rsid w:val="5C1A0B69"/>
    <w:rsid w:val="5C1C7AB3"/>
    <w:rsid w:val="5C1D79BD"/>
    <w:rsid w:val="5C211B28"/>
    <w:rsid w:val="5C2446EA"/>
    <w:rsid w:val="5C2A116B"/>
    <w:rsid w:val="5C2C51CA"/>
    <w:rsid w:val="5C2E0ABA"/>
    <w:rsid w:val="5C313602"/>
    <w:rsid w:val="5C324D96"/>
    <w:rsid w:val="5C3A18CA"/>
    <w:rsid w:val="5C3A18DF"/>
    <w:rsid w:val="5C3E5639"/>
    <w:rsid w:val="5C3E73FE"/>
    <w:rsid w:val="5C4302AF"/>
    <w:rsid w:val="5C463F6A"/>
    <w:rsid w:val="5C496E06"/>
    <w:rsid w:val="5C501594"/>
    <w:rsid w:val="5C522BE4"/>
    <w:rsid w:val="5C536E44"/>
    <w:rsid w:val="5C571A41"/>
    <w:rsid w:val="5C574D75"/>
    <w:rsid w:val="5C5D5D6D"/>
    <w:rsid w:val="5C60120B"/>
    <w:rsid w:val="5C63455C"/>
    <w:rsid w:val="5C635952"/>
    <w:rsid w:val="5C663F53"/>
    <w:rsid w:val="5C6652E6"/>
    <w:rsid w:val="5C690B0C"/>
    <w:rsid w:val="5C7103F1"/>
    <w:rsid w:val="5C7215A0"/>
    <w:rsid w:val="5C73277D"/>
    <w:rsid w:val="5C7902CA"/>
    <w:rsid w:val="5C7C5E2E"/>
    <w:rsid w:val="5C884129"/>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D212D"/>
    <w:rsid w:val="5CFE554A"/>
    <w:rsid w:val="5D004FD7"/>
    <w:rsid w:val="5D0370EB"/>
    <w:rsid w:val="5D0C3D3D"/>
    <w:rsid w:val="5D0E426F"/>
    <w:rsid w:val="5D0F3CF6"/>
    <w:rsid w:val="5D1102F0"/>
    <w:rsid w:val="5D1315D5"/>
    <w:rsid w:val="5D1A5C4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637C85"/>
    <w:rsid w:val="5D680387"/>
    <w:rsid w:val="5D6D5C66"/>
    <w:rsid w:val="5D7206A1"/>
    <w:rsid w:val="5D740B52"/>
    <w:rsid w:val="5D755F99"/>
    <w:rsid w:val="5D7656F6"/>
    <w:rsid w:val="5D78007C"/>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2195"/>
    <w:rsid w:val="5DB72CEA"/>
    <w:rsid w:val="5DB76529"/>
    <w:rsid w:val="5DBF0827"/>
    <w:rsid w:val="5DC0151D"/>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63BDB"/>
    <w:rsid w:val="5E677EDC"/>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72F0"/>
    <w:rsid w:val="5FBD61BC"/>
    <w:rsid w:val="5FC017AD"/>
    <w:rsid w:val="5FC06AB4"/>
    <w:rsid w:val="5FC142EE"/>
    <w:rsid w:val="5FD763E3"/>
    <w:rsid w:val="5FD7706A"/>
    <w:rsid w:val="5FDA46C8"/>
    <w:rsid w:val="5FDB4F3D"/>
    <w:rsid w:val="5FDC0ABD"/>
    <w:rsid w:val="5FE10819"/>
    <w:rsid w:val="5FE30BA2"/>
    <w:rsid w:val="5FE6571C"/>
    <w:rsid w:val="5FED0719"/>
    <w:rsid w:val="5FEF04AA"/>
    <w:rsid w:val="5FF27FE4"/>
    <w:rsid w:val="5FF36493"/>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65B3E"/>
    <w:rsid w:val="605E7523"/>
    <w:rsid w:val="605F164B"/>
    <w:rsid w:val="60682124"/>
    <w:rsid w:val="606A3E56"/>
    <w:rsid w:val="606B1CB6"/>
    <w:rsid w:val="6073189D"/>
    <w:rsid w:val="60736A2F"/>
    <w:rsid w:val="607443D2"/>
    <w:rsid w:val="6075702F"/>
    <w:rsid w:val="60792BB0"/>
    <w:rsid w:val="607A48AD"/>
    <w:rsid w:val="607C742A"/>
    <w:rsid w:val="607D0570"/>
    <w:rsid w:val="60801EB9"/>
    <w:rsid w:val="60836310"/>
    <w:rsid w:val="60884273"/>
    <w:rsid w:val="60894587"/>
    <w:rsid w:val="608A3E41"/>
    <w:rsid w:val="608B6649"/>
    <w:rsid w:val="60913BAC"/>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060"/>
    <w:rsid w:val="61221436"/>
    <w:rsid w:val="61224A99"/>
    <w:rsid w:val="612369B4"/>
    <w:rsid w:val="61293789"/>
    <w:rsid w:val="612C5770"/>
    <w:rsid w:val="612D25D8"/>
    <w:rsid w:val="613A74B9"/>
    <w:rsid w:val="613B6EB8"/>
    <w:rsid w:val="613C1C4E"/>
    <w:rsid w:val="613C418D"/>
    <w:rsid w:val="613E1D86"/>
    <w:rsid w:val="613F585A"/>
    <w:rsid w:val="6147048D"/>
    <w:rsid w:val="614D3232"/>
    <w:rsid w:val="614F005B"/>
    <w:rsid w:val="615132D9"/>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F001F"/>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2B7C35"/>
    <w:rsid w:val="63314429"/>
    <w:rsid w:val="633A0420"/>
    <w:rsid w:val="633A6B15"/>
    <w:rsid w:val="633B5504"/>
    <w:rsid w:val="633E468C"/>
    <w:rsid w:val="633F55D8"/>
    <w:rsid w:val="6341499B"/>
    <w:rsid w:val="63416F64"/>
    <w:rsid w:val="63430456"/>
    <w:rsid w:val="634325ED"/>
    <w:rsid w:val="63443AEC"/>
    <w:rsid w:val="634802B3"/>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C16E5"/>
    <w:rsid w:val="638F22B7"/>
    <w:rsid w:val="639154D4"/>
    <w:rsid w:val="63933614"/>
    <w:rsid w:val="63991163"/>
    <w:rsid w:val="63993990"/>
    <w:rsid w:val="639A1276"/>
    <w:rsid w:val="639A34E0"/>
    <w:rsid w:val="639D6B08"/>
    <w:rsid w:val="63A65D5A"/>
    <w:rsid w:val="63AB1FE1"/>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73DF"/>
    <w:rsid w:val="64193316"/>
    <w:rsid w:val="641E2F9B"/>
    <w:rsid w:val="641F6408"/>
    <w:rsid w:val="64231C35"/>
    <w:rsid w:val="64267B2C"/>
    <w:rsid w:val="642C2369"/>
    <w:rsid w:val="6435158C"/>
    <w:rsid w:val="64361A2B"/>
    <w:rsid w:val="643E73D7"/>
    <w:rsid w:val="64477E7E"/>
    <w:rsid w:val="644C64F7"/>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7CE0"/>
    <w:rsid w:val="653C1600"/>
    <w:rsid w:val="653F2910"/>
    <w:rsid w:val="653F3F4B"/>
    <w:rsid w:val="65442614"/>
    <w:rsid w:val="65483234"/>
    <w:rsid w:val="655A3450"/>
    <w:rsid w:val="655B2CF8"/>
    <w:rsid w:val="655E4E68"/>
    <w:rsid w:val="655E5BA3"/>
    <w:rsid w:val="656503D7"/>
    <w:rsid w:val="6568546B"/>
    <w:rsid w:val="656A73CE"/>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CD38C5"/>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240622"/>
    <w:rsid w:val="662411BF"/>
    <w:rsid w:val="662460EC"/>
    <w:rsid w:val="66267DC1"/>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063A0"/>
    <w:rsid w:val="66A31556"/>
    <w:rsid w:val="66AA0B0A"/>
    <w:rsid w:val="66AB4650"/>
    <w:rsid w:val="66AD7E00"/>
    <w:rsid w:val="66AE0E29"/>
    <w:rsid w:val="66AF5BE1"/>
    <w:rsid w:val="66B40759"/>
    <w:rsid w:val="66B711AC"/>
    <w:rsid w:val="66B83217"/>
    <w:rsid w:val="66B879B4"/>
    <w:rsid w:val="66BB6588"/>
    <w:rsid w:val="66C16711"/>
    <w:rsid w:val="66C26246"/>
    <w:rsid w:val="66C375BF"/>
    <w:rsid w:val="66C41A17"/>
    <w:rsid w:val="66C4254D"/>
    <w:rsid w:val="66C7149A"/>
    <w:rsid w:val="66C9321B"/>
    <w:rsid w:val="66CB6297"/>
    <w:rsid w:val="66CC4487"/>
    <w:rsid w:val="66CE5C26"/>
    <w:rsid w:val="66CF4B91"/>
    <w:rsid w:val="66D40FE2"/>
    <w:rsid w:val="66D57F1E"/>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149C6"/>
    <w:rsid w:val="67281EC7"/>
    <w:rsid w:val="672920F2"/>
    <w:rsid w:val="672D7681"/>
    <w:rsid w:val="6730372A"/>
    <w:rsid w:val="67344028"/>
    <w:rsid w:val="67392A66"/>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75D9C"/>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B4C17"/>
    <w:rsid w:val="689F4CC7"/>
    <w:rsid w:val="68A01296"/>
    <w:rsid w:val="68A41E22"/>
    <w:rsid w:val="68A97007"/>
    <w:rsid w:val="68AE2BE9"/>
    <w:rsid w:val="68B14444"/>
    <w:rsid w:val="68B229A4"/>
    <w:rsid w:val="68B478A9"/>
    <w:rsid w:val="68BA6A04"/>
    <w:rsid w:val="68BC201A"/>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43CE8"/>
    <w:rsid w:val="68E600E0"/>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27460"/>
    <w:rsid w:val="69337B4A"/>
    <w:rsid w:val="693A0AAA"/>
    <w:rsid w:val="693A7B08"/>
    <w:rsid w:val="693C4AC3"/>
    <w:rsid w:val="693F5E7E"/>
    <w:rsid w:val="694101FB"/>
    <w:rsid w:val="69426864"/>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64B50"/>
    <w:rsid w:val="69D87485"/>
    <w:rsid w:val="69D9615A"/>
    <w:rsid w:val="69DA312F"/>
    <w:rsid w:val="69DB1C7B"/>
    <w:rsid w:val="69DB51C3"/>
    <w:rsid w:val="69DF1A84"/>
    <w:rsid w:val="69E74BA2"/>
    <w:rsid w:val="69E96D68"/>
    <w:rsid w:val="69EE1071"/>
    <w:rsid w:val="69F2148A"/>
    <w:rsid w:val="69F86274"/>
    <w:rsid w:val="69F93223"/>
    <w:rsid w:val="69FF1B34"/>
    <w:rsid w:val="6A11122C"/>
    <w:rsid w:val="6A145E00"/>
    <w:rsid w:val="6A177B05"/>
    <w:rsid w:val="6A193D7A"/>
    <w:rsid w:val="6A1C022B"/>
    <w:rsid w:val="6A221A16"/>
    <w:rsid w:val="6A257487"/>
    <w:rsid w:val="6A276108"/>
    <w:rsid w:val="6A292BE4"/>
    <w:rsid w:val="6A2A4ADC"/>
    <w:rsid w:val="6A2A5F02"/>
    <w:rsid w:val="6A2A61CB"/>
    <w:rsid w:val="6A2F3F03"/>
    <w:rsid w:val="6A3465B9"/>
    <w:rsid w:val="6A3671C9"/>
    <w:rsid w:val="6A3832AF"/>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F0D8D"/>
    <w:rsid w:val="6ACF2081"/>
    <w:rsid w:val="6ACF2150"/>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724E0"/>
    <w:rsid w:val="6B480BCD"/>
    <w:rsid w:val="6B484B34"/>
    <w:rsid w:val="6B4C712F"/>
    <w:rsid w:val="6B4E38C6"/>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453FF"/>
    <w:rsid w:val="6C04547D"/>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0E62"/>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827C3"/>
    <w:rsid w:val="6C9D6C0C"/>
    <w:rsid w:val="6C9F1981"/>
    <w:rsid w:val="6C9F6E83"/>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D0576"/>
    <w:rsid w:val="6D1F26CE"/>
    <w:rsid w:val="6D2001F2"/>
    <w:rsid w:val="6D2141AF"/>
    <w:rsid w:val="6D214E93"/>
    <w:rsid w:val="6D2347A7"/>
    <w:rsid w:val="6D234A39"/>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F77B2"/>
    <w:rsid w:val="6DA22A3B"/>
    <w:rsid w:val="6DA815FD"/>
    <w:rsid w:val="6DB43CBF"/>
    <w:rsid w:val="6DB65267"/>
    <w:rsid w:val="6DBA2144"/>
    <w:rsid w:val="6DBE7C28"/>
    <w:rsid w:val="6DC24B1B"/>
    <w:rsid w:val="6DC616C6"/>
    <w:rsid w:val="6DC822B5"/>
    <w:rsid w:val="6DC869CE"/>
    <w:rsid w:val="6DCA662C"/>
    <w:rsid w:val="6DCB0323"/>
    <w:rsid w:val="6DCF2EC8"/>
    <w:rsid w:val="6DD06258"/>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A4406"/>
    <w:rsid w:val="6E4D0909"/>
    <w:rsid w:val="6E4F73BE"/>
    <w:rsid w:val="6E56438B"/>
    <w:rsid w:val="6E566306"/>
    <w:rsid w:val="6E5A4474"/>
    <w:rsid w:val="6E60101C"/>
    <w:rsid w:val="6E691B5F"/>
    <w:rsid w:val="6E69641A"/>
    <w:rsid w:val="6E6B1B2A"/>
    <w:rsid w:val="6E6C3079"/>
    <w:rsid w:val="6E6D7B97"/>
    <w:rsid w:val="6E6E2208"/>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83246"/>
    <w:rsid w:val="6FE91832"/>
    <w:rsid w:val="6FEB3C07"/>
    <w:rsid w:val="6FF07145"/>
    <w:rsid w:val="6FF15C82"/>
    <w:rsid w:val="6FF74058"/>
    <w:rsid w:val="6FF850BA"/>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56F"/>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A0266"/>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77993"/>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128A9"/>
    <w:rsid w:val="723B06B1"/>
    <w:rsid w:val="723B0B95"/>
    <w:rsid w:val="723B52B8"/>
    <w:rsid w:val="724A4324"/>
    <w:rsid w:val="72522723"/>
    <w:rsid w:val="725340BD"/>
    <w:rsid w:val="72542A36"/>
    <w:rsid w:val="72555383"/>
    <w:rsid w:val="725676AC"/>
    <w:rsid w:val="725D1C13"/>
    <w:rsid w:val="72603ACC"/>
    <w:rsid w:val="726048F1"/>
    <w:rsid w:val="7264705B"/>
    <w:rsid w:val="726843AE"/>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0C0128"/>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8722C"/>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8D156D"/>
    <w:rsid w:val="74903C13"/>
    <w:rsid w:val="74957A0A"/>
    <w:rsid w:val="74992890"/>
    <w:rsid w:val="749C551A"/>
    <w:rsid w:val="749E3BB4"/>
    <w:rsid w:val="74A01F2F"/>
    <w:rsid w:val="74A43647"/>
    <w:rsid w:val="74A83DF8"/>
    <w:rsid w:val="74A85617"/>
    <w:rsid w:val="74AB1458"/>
    <w:rsid w:val="74AF19B2"/>
    <w:rsid w:val="74B33364"/>
    <w:rsid w:val="74B66B6D"/>
    <w:rsid w:val="74B81999"/>
    <w:rsid w:val="74BC376B"/>
    <w:rsid w:val="74BC3D40"/>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63100"/>
    <w:rsid w:val="75181445"/>
    <w:rsid w:val="751A36F4"/>
    <w:rsid w:val="751C7D45"/>
    <w:rsid w:val="752546B5"/>
    <w:rsid w:val="752C3826"/>
    <w:rsid w:val="752F371C"/>
    <w:rsid w:val="7531594A"/>
    <w:rsid w:val="753657D5"/>
    <w:rsid w:val="753A4DD0"/>
    <w:rsid w:val="753D607A"/>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81013"/>
    <w:rsid w:val="75B921DA"/>
    <w:rsid w:val="75B933FE"/>
    <w:rsid w:val="75B96690"/>
    <w:rsid w:val="75B977C5"/>
    <w:rsid w:val="75BE3B96"/>
    <w:rsid w:val="75BF2B77"/>
    <w:rsid w:val="75C5102B"/>
    <w:rsid w:val="75CA76E4"/>
    <w:rsid w:val="75CD25B0"/>
    <w:rsid w:val="75D0034E"/>
    <w:rsid w:val="75D0763F"/>
    <w:rsid w:val="75D30E54"/>
    <w:rsid w:val="75D71109"/>
    <w:rsid w:val="75DB5530"/>
    <w:rsid w:val="75E007CE"/>
    <w:rsid w:val="75E376A3"/>
    <w:rsid w:val="75E82B30"/>
    <w:rsid w:val="75ED5A36"/>
    <w:rsid w:val="75F03BF2"/>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C20F6"/>
    <w:rsid w:val="765D3600"/>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C0FA8"/>
    <w:rsid w:val="76DD1650"/>
    <w:rsid w:val="76E02C24"/>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35AF7"/>
    <w:rsid w:val="77650E71"/>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445C5"/>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B4112"/>
    <w:rsid w:val="785E2773"/>
    <w:rsid w:val="78611B09"/>
    <w:rsid w:val="78631B96"/>
    <w:rsid w:val="7863501F"/>
    <w:rsid w:val="78640065"/>
    <w:rsid w:val="78682E27"/>
    <w:rsid w:val="786C5E43"/>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154A4"/>
    <w:rsid w:val="78A36064"/>
    <w:rsid w:val="78A51E01"/>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05C60"/>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646D0"/>
    <w:rsid w:val="797D5A8D"/>
    <w:rsid w:val="797E3237"/>
    <w:rsid w:val="798073EB"/>
    <w:rsid w:val="798300AD"/>
    <w:rsid w:val="798547D0"/>
    <w:rsid w:val="798B0BA1"/>
    <w:rsid w:val="798B7ED4"/>
    <w:rsid w:val="798E6887"/>
    <w:rsid w:val="799058F1"/>
    <w:rsid w:val="79905D90"/>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682849"/>
    <w:rsid w:val="7A6A4FB7"/>
    <w:rsid w:val="7A6B3DC0"/>
    <w:rsid w:val="7A6C33B7"/>
    <w:rsid w:val="7A6D7652"/>
    <w:rsid w:val="7A735108"/>
    <w:rsid w:val="7A743079"/>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821DD"/>
    <w:rsid w:val="7A9A7DE1"/>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50A5F"/>
    <w:rsid w:val="7C272BC7"/>
    <w:rsid w:val="7C29156F"/>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C547D"/>
    <w:rsid w:val="7D3E4B1B"/>
    <w:rsid w:val="7D405AA6"/>
    <w:rsid w:val="7D4246D2"/>
    <w:rsid w:val="7D436EF5"/>
    <w:rsid w:val="7D4A7FBA"/>
    <w:rsid w:val="7D50176E"/>
    <w:rsid w:val="7D51035F"/>
    <w:rsid w:val="7D512D55"/>
    <w:rsid w:val="7D5142E5"/>
    <w:rsid w:val="7D543B71"/>
    <w:rsid w:val="7D5709AE"/>
    <w:rsid w:val="7D5813FC"/>
    <w:rsid w:val="7D5E2E71"/>
    <w:rsid w:val="7D60101D"/>
    <w:rsid w:val="7D6420DE"/>
    <w:rsid w:val="7D647CF1"/>
    <w:rsid w:val="7D693A8F"/>
    <w:rsid w:val="7D6B7110"/>
    <w:rsid w:val="7D6E3B3C"/>
    <w:rsid w:val="7D6F5BF1"/>
    <w:rsid w:val="7D7567BB"/>
    <w:rsid w:val="7D793716"/>
    <w:rsid w:val="7D7C7F13"/>
    <w:rsid w:val="7D7D670C"/>
    <w:rsid w:val="7D7E4EE9"/>
    <w:rsid w:val="7D8340D0"/>
    <w:rsid w:val="7D840463"/>
    <w:rsid w:val="7D8B3828"/>
    <w:rsid w:val="7D8F2AC0"/>
    <w:rsid w:val="7D8F4A18"/>
    <w:rsid w:val="7D923E6D"/>
    <w:rsid w:val="7D926F92"/>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70066"/>
    <w:rsid w:val="7DD85DBE"/>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E034220"/>
    <w:rsid w:val="7E0753BF"/>
    <w:rsid w:val="7E0972BA"/>
    <w:rsid w:val="7E0976BF"/>
    <w:rsid w:val="7E0E68FC"/>
    <w:rsid w:val="7E0F2115"/>
    <w:rsid w:val="7E0F2C81"/>
    <w:rsid w:val="7E0F3EA6"/>
    <w:rsid w:val="7E0F4721"/>
    <w:rsid w:val="7E1242D7"/>
    <w:rsid w:val="7E1246DB"/>
    <w:rsid w:val="7E165F0E"/>
    <w:rsid w:val="7E1726D8"/>
    <w:rsid w:val="7E1D0F6C"/>
    <w:rsid w:val="7E1E6DC0"/>
    <w:rsid w:val="7E20169A"/>
    <w:rsid w:val="7E274023"/>
    <w:rsid w:val="7E2B327F"/>
    <w:rsid w:val="7E2D5152"/>
    <w:rsid w:val="7E3118B9"/>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1C74"/>
    <w:rsid w:val="7E8E58CF"/>
    <w:rsid w:val="7E924992"/>
    <w:rsid w:val="7E97006E"/>
    <w:rsid w:val="7E971EC6"/>
    <w:rsid w:val="7E986288"/>
    <w:rsid w:val="7E991A2E"/>
    <w:rsid w:val="7E996026"/>
    <w:rsid w:val="7E996FB8"/>
    <w:rsid w:val="7E997CE1"/>
    <w:rsid w:val="7E9B530E"/>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C3603"/>
    <w:rsid w:val="7F443395"/>
    <w:rsid w:val="7F5207F4"/>
    <w:rsid w:val="7F563140"/>
    <w:rsid w:val="7F591896"/>
    <w:rsid w:val="7F591F0E"/>
    <w:rsid w:val="7F5B5771"/>
    <w:rsid w:val="7F5D2D4D"/>
    <w:rsid w:val="7F5F27CD"/>
    <w:rsid w:val="7F5F66C5"/>
    <w:rsid w:val="7F601B98"/>
    <w:rsid w:val="7F614A34"/>
    <w:rsid w:val="7F614D28"/>
    <w:rsid w:val="7F6179F3"/>
    <w:rsid w:val="7F63372A"/>
    <w:rsid w:val="7F642634"/>
    <w:rsid w:val="7F6812CE"/>
    <w:rsid w:val="7F69519A"/>
    <w:rsid w:val="7F70218A"/>
    <w:rsid w:val="7F7514A2"/>
    <w:rsid w:val="7F791502"/>
    <w:rsid w:val="7F7D592C"/>
    <w:rsid w:val="7F805AC3"/>
    <w:rsid w:val="7F8649A9"/>
    <w:rsid w:val="7F867E2A"/>
    <w:rsid w:val="7F873895"/>
    <w:rsid w:val="7F891D26"/>
    <w:rsid w:val="7F8A16A6"/>
    <w:rsid w:val="7F8B2886"/>
    <w:rsid w:val="7F8B5253"/>
    <w:rsid w:val="7F8D77FC"/>
    <w:rsid w:val="7F913931"/>
    <w:rsid w:val="7F915207"/>
    <w:rsid w:val="7F9207C2"/>
    <w:rsid w:val="7F960E9D"/>
    <w:rsid w:val="7F98284E"/>
    <w:rsid w:val="7F9B0314"/>
    <w:rsid w:val="7F9D20A5"/>
    <w:rsid w:val="7F9E22BE"/>
    <w:rsid w:val="7F9E68C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147A"/>
    <w:rsid w:val="7FE17C1C"/>
    <w:rsid w:val="7FE62B41"/>
    <w:rsid w:val="7FEA0E77"/>
    <w:rsid w:val="7FEA56BA"/>
    <w:rsid w:val="7FEB0045"/>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99"/>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E7ACAC-6B44-4117-8223-45A0F998AB2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3947</Words>
  <Characters>22498</Characters>
  <Lines>187</Lines>
  <Paragraphs>52</Paragraphs>
  <TotalTime>44</TotalTime>
  <ScaleCrop>false</ScaleCrop>
  <LinksUpToDate>false</LinksUpToDate>
  <CharactersWithSpaces>26393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2021-01-18T03:27:00Z</dcterms:created>
  <dc:creator>ZTE</dc:creator>
  <cp:lastModifiedBy>ZTE</cp:lastModifiedBy>
  <dcterms:modified xsi:type="dcterms:W3CDTF">2021-11-05T06:49:58Z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